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School and Youth Organisation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schools, youth organisations, parent groups, alumni bodies and education programmes.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23.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24.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25.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26.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27.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28.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29.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30.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31.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32.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33.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34.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rPr>
          <w:color w:val="0B2545"/>
        </w:rPr>
        <w:t>35.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rPr>
          <w:color w:val="0B2545"/>
        </w:rPr>
        <w:t>36.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