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GSN Trust Infrastructure</w:t>
      </w:r>
    </w:p>
    <w:p>
      <w:pPr>
        <w:pStyle w:val="Subtitle"/>
      </w:pPr>
      <w:r>
        <w:t xml:space="preserve">Investor brief: turning community-recognised trust into responsible infrastructure</w:t>
      </w:r>
    </w:p>
    <w:p>
      <w:r>
        <w:t xml:space="preserve">Prepared by: Nwafor Chuma, Founder, Global Support Network (GSN)</w:t>
      </w:r>
    </w:p>
    <w:p>
      <w:pPr>
        <w:pStyle w:val="Heading1"/>
      </w:pPr>
      <w:r>
        <w:t xml:space="preserve">Investor thesis</w:t>
      </w:r>
    </w:p>
    <w:p>
      <w:pPr>
        <w:pStyle w:val="Callout"/>
      </w:pPr>
      <w:r>
        <w:t xml:space="preserve">GSN is building Trust Infrastructure for communities: a system for preserving community-recognised behavioural evidence so individuals, shops, associations, and institutions can make stronger decisions without relying only on identity, credentials, financial records, or informal memory.</w:t>
      </w:r>
    </w:p>
    <w:p>
      <w:r>
        <w:t xml:space="preserve">The venture opportunity is not another social network or marketplace. It is an infrastructure layer for trust evidence across community membership, commerce, support, contribution, verification, and institutional decision-making.</w:t>
      </w:r>
    </w:p>
    <w:p>
      <w:pPr>
        <w:pStyle w:val="Heading1"/>
      </w:pPr>
      <w:r>
        <w:t xml:space="preserve">The problem</w:t>
      </w:r>
    </w:p>
    <w:p>
      <w:pPr>
        <w:numPr>
          <w:ilvl w:val="0"/>
          <w:numId w:val="1"/>
        </w:numPr>
        <w:spacing w:after="80"/>
        <w:ind w:left="720" w:hanging="360"/>
      </w:pPr>
      <w:r>
        <w:t xml:space="preserve">Communities already know who contributes, fulfils responsibility, trades honestly, repays, leads, supports others, and keeps commitments.</w:t>
      </w:r>
    </w:p>
    <w:p>
      <w:pPr>
        <w:numPr>
          <w:ilvl w:val="0"/>
          <w:numId w:val="1"/>
        </w:numPr>
        <w:spacing w:after="80"/>
        <w:ind w:left="720" w:hanging="360"/>
      </w:pPr>
      <w:r>
        <w:t xml:space="preserve">That behavioural knowledge is fragmented across memory, WhatsApp, leaders, receipts, committee records, and informal references.</w:t>
      </w:r>
    </w:p>
    <w:p>
      <w:pPr>
        <w:numPr>
          <w:ilvl w:val="0"/>
          <w:numId w:val="1"/>
        </w:numPr>
        <w:spacing w:after="80"/>
        <w:ind w:left="720" w:hanging="360"/>
      </w:pPr>
      <w:r>
        <w:t xml:space="preserve">When people move between communities, countries, schools, workplaces, or markets, much of the trust they already earned becomes invisible.</w:t>
      </w:r>
    </w:p>
    <w:p>
      <w:pPr>
        <w:numPr>
          <w:ilvl w:val="0"/>
          <w:numId w:val="1"/>
        </w:numPr>
        <w:spacing w:after="80"/>
        <w:ind w:left="720" w:hanging="360"/>
      </w:pPr>
      <w:r>
        <w:t xml:space="preserve">Existing platforms capture transactions, profiles, messages, or financial records, but they do not preserve community-recognised behavioural continuity with provenance and governance.</w:t>
      </w:r>
    </w:p>
    <w:p>
      <w:pPr>
        <w:pStyle w:val="Heading1"/>
      </w:pPr>
      <w:r>
        <w:t xml:space="preserve">The solution</w:t>
      </w:r>
    </w:p>
    <w:p>
      <w:r>
        <w:t xml:space="preserve">GSN provides a community-first infrastructure for preserving behavioural evidence and making it usable for specific decisions. It does this through Community Domains, Trust Events, Trust Passports, TrustSlips, Marketplace evidence, support/loan readiness, and community intelligence.</w:t>
      </w:r>
    </w:p>
    <w:p>
      <w:pPr>
        <w:numPr>
          <w:ilvl w:val="0"/>
          <w:numId w:val="1"/>
        </w:numPr>
        <w:spacing w:after="80"/>
        <w:ind w:left="720" w:hanging="360"/>
      </w:pPr>
      <w:r>
        <w:t xml:space="preserve">Community Domains preserve the environments where trust is recognised.</w:t>
      </w:r>
    </w:p>
    <w:p>
      <w:pPr>
        <w:numPr>
          <w:ilvl w:val="0"/>
          <w:numId w:val="1"/>
        </w:numPr>
        <w:spacing w:after="80"/>
        <w:ind w:left="720" w:hanging="360"/>
      </w:pPr>
      <w:r>
        <w:t xml:space="preserve">Trust Events preserve specific recognised behavioural evidence.</w:t>
      </w:r>
    </w:p>
    <w:p>
      <w:pPr>
        <w:numPr>
          <w:ilvl w:val="0"/>
          <w:numId w:val="1"/>
        </w:numPr>
        <w:spacing w:after="80"/>
        <w:ind w:left="720" w:hanging="360"/>
      </w:pPr>
      <w:r>
        <w:t xml:space="preserve">Trust Passports preserve continuity across communities.</w:t>
      </w:r>
    </w:p>
    <w:p>
      <w:pPr>
        <w:numPr>
          <w:ilvl w:val="0"/>
          <w:numId w:val="1"/>
        </w:numPr>
        <w:spacing w:after="80"/>
        <w:ind w:left="720" w:hanging="360"/>
      </w:pPr>
      <w:r>
        <w:t xml:space="preserve">TrustSlips present decision-specific evidence without exposing everything.</w:t>
      </w:r>
    </w:p>
    <w:p>
      <w:pPr>
        <w:numPr>
          <w:ilvl w:val="0"/>
          <w:numId w:val="1"/>
        </w:numPr>
        <w:spacing w:after="80"/>
        <w:ind w:left="720" w:hanging="360"/>
      </w:pPr>
      <w:r>
        <w:t xml:space="preserve">Marketplace and support rails turn trade, contribution, repayment, and responsibility into usable records.</w:t>
      </w:r>
    </w:p>
    <w:p>
      <w:pPr>
        <w:pStyle w:val="Heading1"/>
      </w:pPr>
      <w:r>
        <w:t xml:space="preserve">Why now</w:t>
      </w:r>
    </w:p>
    <w:p>
      <w:pPr>
        <w:numPr>
          <w:ilvl w:val="0"/>
          <w:numId w:val="1"/>
        </w:numPr>
        <w:spacing w:after="80"/>
        <w:ind w:left="720" w:hanging="360"/>
      </w:pPr>
      <w:r>
        <w:t xml:space="preserve">Digital identity is improving, but identity alone does not prove reliability, contribution, responsibility, or trusted participation.</w:t>
      </w:r>
    </w:p>
    <w:p>
      <w:pPr>
        <w:numPr>
          <w:ilvl w:val="0"/>
          <w:numId w:val="1"/>
        </w:numPr>
        <w:spacing w:after="80"/>
        <w:ind w:left="720" w:hanging="360"/>
      </w:pPr>
      <w:r>
        <w:t xml:space="preserve">Informal communities increasingly organise through digital channels, yet their trust evidence remains scattered and unstructured.</w:t>
      </w:r>
    </w:p>
    <w:p>
      <w:pPr>
        <w:numPr>
          <w:ilvl w:val="0"/>
          <w:numId w:val="1"/>
        </w:numPr>
        <w:spacing w:after="80"/>
        <w:ind w:left="720" w:hanging="360"/>
      </w:pPr>
      <w:r>
        <w:t xml:space="preserve">Diaspora, student, religious, cooperative, market, and association networks need portable evidence without surrendering local governance.</w:t>
      </w:r>
    </w:p>
    <w:p>
      <w:pPr>
        <w:numPr>
          <w:ilvl w:val="0"/>
          <w:numId w:val="1"/>
        </w:numPr>
        <w:spacing w:after="80"/>
        <w:ind w:left="720" w:hanging="360"/>
      </w:pPr>
      <w:r>
        <w:t xml:space="preserve">AI can only assist with trust decisions if meaningful, provenance-rich evidence exists first.</w:t>
      </w:r>
    </w:p>
    <w:p>
      <w:pPr>
        <w:pStyle w:val="Heading1"/>
      </w:pPr>
      <w:r>
        <w:t xml:space="preserve">Market entry strategy</w:t>
      </w:r>
    </w:p>
    <w:p>
      <w:r>
        <w:t xml:space="preserve">The safest early wedge is not a broad consumer launch. It is community-led pilots where the trust problem is visible and decision-specific.</w:t>
      </w:r>
    </w:p>
    <w:p>
      <w:pPr>
        <w:numPr>
          <w:ilvl w:val="0"/>
          <w:numId w:val="2"/>
        </w:numPr>
        <w:spacing w:after="80"/>
        <w:ind w:left="720" w:hanging="360"/>
      </w:pPr>
      <w:r>
        <w:t xml:space="preserve">Student societies and diaspora communities: membership, contribution, volunteering, leadership, and transition after graduation.</w:t>
      </w:r>
    </w:p>
    <w:p>
      <w:pPr>
        <w:numPr>
          <w:ilvl w:val="0"/>
          <w:numId w:val="2"/>
        </w:numPr>
        <w:spacing w:after="80"/>
        <w:ind w:left="720" w:hanging="360"/>
      </w:pPr>
      <w:r>
        <w:t xml:space="preserve">Market and shop communities: seller identity, public shop evidence, fulfilment, trade history, and customer confidence.</w:t>
      </w:r>
    </w:p>
    <w:p>
      <w:pPr>
        <w:numPr>
          <w:ilvl w:val="0"/>
          <w:numId w:val="2"/>
        </w:numPr>
        <w:spacing w:after="80"/>
        <w:ind w:left="720" w:hanging="360"/>
      </w:pPr>
      <w:r>
        <w:t xml:space="preserve">Savings circles and support groups: contribution records, repayment behaviour, support readiness, and responsibility evidence.</w:t>
      </w:r>
    </w:p>
    <w:p>
      <w:pPr>
        <w:numPr>
          <w:ilvl w:val="0"/>
          <w:numId w:val="2"/>
        </w:numPr>
        <w:spacing w:after="80"/>
        <w:ind w:left="720" w:hanging="360"/>
      </w:pPr>
      <w:r>
        <w:t xml:space="preserve">Associations, churches, unions, cooperatives, and NGOs: governance, membership, activity, and community memory.</w:t>
      </w:r>
    </w:p>
    <w:p>
      <w:pPr>
        <w:pStyle w:val="Heading1"/>
      </w:pPr>
      <w:r>
        <w:t xml:space="preserve">Business model hypotheses</w:t>
      </w:r>
    </w:p>
    <w:p>
      <w:pPr>
        <w:numPr>
          <w:ilvl w:val="0"/>
          <w:numId w:val="1"/>
        </w:numPr>
        <w:spacing w:after="80"/>
        <w:ind w:left="720" w:hanging="360"/>
      </w:pPr>
      <w:r>
        <w:t xml:space="preserve">Community Domain subscriptions for associations, societies, unions, cooperatives, markets, and institutions.</w:t>
      </w:r>
    </w:p>
    <w:p>
      <w:pPr>
        <w:numPr>
          <w:ilvl w:val="0"/>
          <w:numId w:val="1"/>
        </w:numPr>
        <w:spacing w:after="80"/>
        <w:ind w:left="720" w:hanging="360"/>
      </w:pPr>
      <w:r>
        <w:t xml:space="preserve">Shop and marketplace visibility tools tied to public evidence and community membership.</w:t>
      </w:r>
    </w:p>
    <w:p>
      <w:pPr>
        <w:numPr>
          <w:ilvl w:val="0"/>
          <w:numId w:val="1"/>
        </w:numPr>
        <w:spacing w:after="80"/>
        <w:ind w:left="720" w:hanging="360"/>
      </w:pPr>
      <w:r>
        <w:t xml:space="preserve">Trust document generation, verification, and institutional evidence services.</w:t>
      </w:r>
    </w:p>
    <w:p>
      <w:pPr>
        <w:numPr>
          <w:ilvl w:val="0"/>
          <w:numId w:val="1"/>
        </w:numPr>
        <w:spacing w:after="80"/>
        <w:ind w:left="720" w:hanging="360"/>
      </w:pPr>
      <w:r>
        <w:t xml:space="preserve">Premium community intelligence, governance, and compliance tooling for larger organisations.</w:t>
      </w:r>
    </w:p>
    <w:p>
      <w:pPr>
        <w:numPr>
          <w:ilvl w:val="0"/>
          <w:numId w:val="1"/>
        </w:numPr>
        <w:spacing w:after="80"/>
        <w:ind w:left="720" w:hanging="360"/>
      </w:pPr>
      <w:r>
        <w:t xml:space="preserve">Future API/infrastructure services for verified partners, subject to strict privacy and governance controls.</w:t>
      </w:r>
    </w:p>
    <w:p>
      <w:pPr>
        <w:pStyle w:val="Heading1"/>
      </w:pPr>
      <w:r>
        <w:t xml:space="preserve">Defensibility</w:t>
      </w:r>
    </w:p>
    <w:p>
      <w:pPr>
        <w:numPr>
          <w:ilvl w:val="0"/>
          <w:numId w:val="1"/>
        </w:numPr>
        <w:spacing w:after="80"/>
        <w:ind w:left="720" w:hanging="360"/>
      </w:pPr>
      <w:r>
        <w:t xml:space="preserve">Community graph and provenance: evidence is anchored in real community contexts, not generic profiles.</w:t>
      </w:r>
    </w:p>
    <w:p>
      <w:pPr>
        <w:numPr>
          <w:ilvl w:val="0"/>
          <w:numId w:val="1"/>
        </w:numPr>
        <w:spacing w:after="80"/>
        <w:ind w:left="720" w:hanging="360"/>
      </w:pPr>
      <w:r>
        <w:t xml:space="preserve">Trust event history: behavioural continuity improves over time as more governed evidence accumulates.</w:t>
      </w:r>
    </w:p>
    <w:p>
      <w:pPr>
        <w:numPr>
          <w:ilvl w:val="0"/>
          <w:numId w:val="1"/>
        </w:numPr>
        <w:spacing w:after="80"/>
        <w:ind w:left="720" w:hanging="360"/>
      </w:pPr>
      <w:r>
        <w:t xml:space="preserve">Institutional framing: GSN is positioned as infrastructure, not a casual app category.</w:t>
      </w:r>
    </w:p>
    <w:p>
      <w:pPr>
        <w:numPr>
          <w:ilvl w:val="0"/>
          <w:numId w:val="1"/>
        </w:numPr>
        <w:spacing w:after="80"/>
        <w:ind w:left="720" w:hanging="360"/>
      </w:pPr>
      <w:r>
        <w:t xml:space="preserve">Workflow depth: marketplace, support, trust documents, membership, governance, and community memory reinforce each other.</w:t>
      </w:r>
    </w:p>
    <w:p>
      <w:pPr>
        <w:numPr>
          <w:ilvl w:val="0"/>
          <w:numId w:val="1"/>
        </w:numPr>
        <w:spacing w:after="80"/>
        <w:ind w:left="720" w:hanging="360"/>
      </w:pPr>
      <w:r>
        <w:t xml:space="preserve">Founder insight: the product is built from a coherent first-principles theory rather than feature opportunism.</w:t>
      </w:r>
    </w:p>
    <w:p>
      <w:pPr>
        <w:pStyle w:val="Heading1"/>
      </w:pPr>
      <w:r>
        <w:t>Development impact and SDG alignment</w:t>
      </w:r>
    </w:p>
    <w:p>
      <w:r>
        <w:t>GSN is not claiming to fulfil United Nations Sustainable Development Goals by declaration. The investable and development-relevant claim is narrower: GSN is designed to align with selected SDGs by making community trust evidence more visible, governed, portable, and useful for real decisions.</w:t>
      </w:r>
    </w:p>
    <w:p>
      <w:r>
        <w:t>The strongest alignment is with SDG 16 and SDG 8: stronger community institutions and more credible local economic participation. GSN also has plausible alignment with SDG 1, SDG 9, SDG 10, SDG 11, and SDG 17 through poverty reduction pathways, digital trust infrastructure, inclusion, community resilience, and partner-led deployment.</w:t>
      </w:r>
    </w:p>
    <w:p>
      <w:r>
        <w:t>Secondary alignment may exist with SDG 4, SDG 5, SDG 12, and SDG 13 if specific pilots involve training, gender inclusion, responsible local production, or climate/community resilience evidence. These should be treated as conditional, not assumed.</w:t>
      </w:r>
    </w:p>
    <w:p>
      <w:r>
        <w:t>The proof requirement is measurable impact: active communities, verified members, trust events, small businesses listed, support or repayment evidence, inclusion of women/youth/informal traders, dispute reduction, and local trade or support coordinated through the platform.</w:t>
      </w:r>
    </w:p>
    <w:p>
      <w:pPr>
        <w:pStyle w:val="Heading1"/>
      </w:pPr>
      <w:r>
        <w:t xml:space="preserve">Current proof status</w:t>
      </w:r>
    </w:p>
    <w:p>
      <w:r>
        <w:t xml:space="preserve">This is still early. The intellectual framework is strong, and the product direction is coherent, but investor-grade proof still requires customer discovery, pilot adoption, retention signals, willingness-to-pay evidence, and governance validation.</w:t>
      </w:r>
    </w:p>
    <w:p>
      <w:pPr>
        <w:numPr>
          <w:ilvl w:val="0"/>
          <w:numId w:val="1"/>
        </w:numPr>
        <w:spacing w:after="80"/>
        <w:ind w:left="720" w:hanging="360"/>
      </w:pPr>
      <w:r>
        <w:t xml:space="preserve">Do not overclaim adoption before pilots prove it.</w:t>
      </w:r>
    </w:p>
    <w:p>
      <w:pPr>
        <w:numPr>
          <w:ilvl w:val="0"/>
          <w:numId w:val="1"/>
        </w:numPr>
        <w:spacing w:after="80"/>
        <w:ind w:left="720" w:hanging="360"/>
      </w:pPr>
      <w:r>
        <w:t xml:space="preserve">Do not pitch Behavioural Capital as an accepted category yet; pitch it as a testable insight.</w:t>
      </w:r>
    </w:p>
    <w:p>
      <w:pPr>
        <w:numPr>
          <w:ilvl w:val="0"/>
          <w:numId w:val="1"/>
        </w:numPr>
        <w:spacing w:after="80"/>
        <w:ind w:left="720" w:hanging="360"/>
      </w:pPr>
      <w:r>
        <w:t xml:space="preserve">Do not hide the social-credit objection; answer it with safeguards, consent, provenance, correction, and purpose-limited disclosure.</w:t>
      </w:r>
    </w:p>
    <w:p>
      <w:pPr>
        <w:pStyle w:val="Heading1"/>
      </w:pPr>
      <w:r>
        <w:t xml:space="preserve">Risks and controls</w:t>
      </w:r>
    </w:p>
    <w:p>
      <w:pPr>
        <w:numPr>
          <w:ilvl w:val="0"/>
          <w:numId w:val="1"/>
        </w:numPr>
        <w:spacing w:after="80"/>
        <w:ind w:left="720" w:hanging="360"/>
      </w:pPr>
      <w:r>
        <w:t xml:space="preserve">Risk: the idea is mistaken for reputation scoring. Control: no global score, purpose-limited TrustSlips, provenance-first evidence.</w:t>
      </w:r>
    </w:p>
    <w:p>
      <w:pPr>
        <w:numPr>
          <w:ilvl w:val="0"/>
          <w:numId w:val="1"/>
        </w:numPr>
        <w:spacing w:after="80"/>
        <w:ind w:left="720" w:hanging="360"/>
      </w:pPr>
      <w:r>
        <w:t xml:space="preserve">Risk: communities record biased or harmful claims. Control: governance rules, correction pathways, evidence categories, and audit trails.</w:t>
      </w:r>
    </w:p>
    <w:p>
      <w:pPr>
        <w:numPr>
          <w:ilvl w:val="0"/>
          <w:numId w:val="1"/>
        </w:numPr>
        <w:spacing w:after="80"/>
        <w:ind w:left="720" w:hanging="360"/>
      </w:pPr>
      <w:r>
        <w:t xml:space="preserve">Risk: the product becomes too broad. Control: first pilot must focus on one community, one evidence type, and one decision.</w:t>
      </w:r>
    </w:p>
    <w:p>
      <w:pPr>
        <w:numPr>
          <w:ilvl w:val="0"/>
          <w:numId w:val="1"/>
        </w:numPr>
        <w:spacing w:after="80"/>
        <w:ind w:left="720" w:hanging="360"/>
      </w:pPr>
      <w:r>
        <w:t xml:space="preserve">Risk: privacy concerns block adoption. Control: consent, limited disclosure, non-public defaults, and clear boundaries on what is never recorded.</w:t>
      </w:r>
    </w:p>
    <w:p>
      <w:pPr>
        <w:pStyle w:val="Heading1"/>
      </w:pPr>
      <w:r>
        <w:t xml:space="preserve">Investor ask</w:t>
      </w:r>
    </w:p>
    <w:p>
      <w:r>
        <w:t xml:space="preserve">The immediate ask is not scale capital for a broad launch. The immediate ask is support for a disciplined validation phase: customer discovery, pilot design, product tightening, and evidence of demand in a narrow community wedge. Capital should accelerate proof, not substitute for it.</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Arial" w:hAnsi="Arial" w:hint="default"/>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ettings.xml><?xml version="1.0" encoding="utf-8"?>
<w:settings xmlns:w="http://schemas.openxmlformats.org/wordprocessingml/2006/main">
  <w:compat/>
</w:settings>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color w:val="111827"/>
    </w:rPr>
  </w:style>
  <w:style w:type="paragraph" w:styleId="Title">
    <w:name w:val="Title"/>
    <w:basedOn w:val="Normal"/>
    <w:qFormat/>
    <w:pPr>
      <w:spacing w:before="0" w:after="160"/>
    </w:pPr>
    <w:rPr>
      <w:rFonts w:ascii="Arial" w:hAnsi="Arial"/>
      <w:b/>
      <w:sz w:val="42"/>
      <w:color w:val="0B2545"/>
    </w:rPr>
  </w:style>
  <w:style w:type="paragraph" w:styleId="Subtitle">
    <w:name w:val="Subtitle"/>
    <w:basedOn w:val="Normal"/>
    <w:qFormat/>
    <w:pPr>
      <w:spacing w:before="0" w:after="220"/>
    </w:pPr>
    <w:rPr>
      <w:rFonts w:ascii="Arial" w:hAnsi="Arial"/>
      <w:sz w:val="26"/>
      <w:color w:val="4B5563"/>
    </w:rPr>
  </w:style>
  <w:style w:type="paragraph" w:styleId="Heading1">
    <w:name w:val="Heading 1"/>
    <w:basedOn w:val="Normal"/>
    <w:qFormat/>
    <w:pPr>
      <w:spacing w:before="320" w:after="140"/>
    </w:pPr>
    <w:rPr>
      <w:rFonts w:ascii="Arial" w:hAnsi="Arial"/>
      <w:b/>
      <w:sz w:val="30"/>
      <w:color w:val="0B2545"/>
    </w:rPr>
  </w:style>
  <w:style w:type="paragraph" w:styleId="Heading2">
    <w:name w:val="Heading 2"/>
    <w:basedOn w:val="Normal"/>
    <w:qFormat/>
    <w:pPr>
      <w:spacing w:before="220" w:after="100"/>
    </w:pPr>
    <w:rPr>
      <w:rFonts w:ascii="Arial" w:hAnsi="Arial"/>
      <w:b/>
      <w:sz w:val="25"/>
      <w:color w:val="1F4D78"/>
    </w:rPr>
  </w:style>
  <w:style w:type="paragraph" w:styleId="Callout">
    <w:name w:val="Callout"/>
    <w:basedOn w:val="Normal"/>
    <w:qFormat/>
    <w:pPr>
      <w:spacing w:before="80" w:after="160" w:line="276" w:lineRule="auto"/>
      <w:ind w:left="240" w:right="240"/>
      <w:pBdr>
        <w:left w:val="single" w:sz="12" w:space="8" w:color="D6AA45"/>
      </w:pBdr>
    </w:pPr>
    <w:rPr>
      <w:rFonts w:ascii="Arial" w:hAnsi="Arial"/>
      <w:b/>
      <w:sz w:val="22"/>
      <w:color w:val="0B2545"/>
    </w:rPr>
  </w:style>
  <w:style w:type="paragraph" w:styleId="Bullet">
    <w:name w:val="Bullet"/>
    <w:basedOn w:val="Normal"/>
    <w:pPr>
      <w:spacing w:after="80"/>
      <w:ind w:left="360" w:hanging="180"/>
    </w:pPr>
    <w:rPr>
      <w:rFonts w:ascii="Arial" w:hAnsi="Arial"/>
      <w:sz w:val="22"/>
      <w:color w:val="111827"/>
    </w:rPr>
  </w:style>
  <w:style w:type="paragraph" w:styleId="Numbered">
    <w:name w:val="Numbered"/>
    <w:basedOn w:val="Normal"/>
    <w:pPr>
      <w:spacing w:after="80"/>
      <w:ind w:left="360" w:hanging="180"/>
    </w:pPr>
    <w:rPr>
      <w:rFonts w:ascii="Arial" w:hAnsi="Arial"/>
      <w:sz w:val="22"/>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