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ＭＳ ゴシック" w:cs="ＭＳ ゴシック" w:eastAsia="ＭＳ ゴシック" w:hAnsi="ＭＳ ゴシック"/>
          <w:sz w:val="22"/>
          <w:szCs w:val="22"/>
        </w:rPr>
        <w:t xml:space="preserve">第6学年 社会科 単元計画</w:t>
      </w:r>
    </w:p>
    <w:p>
      <w:pPr>
        <w:spacing w:after="160"/>
        <w:jc w:val="center"/>
      </w:pPr>
      <w:r>
        <w:rPr>
          <w:rFonts w:ascii="ＭＳ ゴシック" w:cs="ＭＳ ゴシック" w:eastAsia="ＭＳ ゴシック" w:hAnsi="ＭＳ ゴシック"/>
          <w:b/>
          <w:bCs/>
          <w:sz w:val="32"/>
          <w:szCs w:val="32"/>
        </w:rPr>
        <w:t xml:space="preserve">戦国の世から天下統一へ</w:t>
      </w:r>
    </w:p>
    <w:p>
      <w:pPr>
        <w:keepNext/>
        <w:pBdr>
          <w:bottom w:val="single" w:color="444444" w:sz="6" w:space="1"/>
        </w:pBdr>
        <w:spacing w:after="80" w:before="200"/>
      </w:pPr>
      <w:r>
        <w:rPr>
          <w:rFonts w:ascii="ＭＳ ゴシック" w:cs="ＭＳ ゴシック" w:eastAsia="ＭＳ ゴシック" w:hAnsi="ＭＳ ゴシック"/>
          <w:b/>
          <w:bCs/>
          <w:sz w:val="24"/>
          <w:szCs w:val="24"/>
        </w:rPr>
        <w:t xml:space="preserve">１　基本情報</w:t>
      </w:r>
    </w:p>
    <w:p>
      <w:pPr>
        <w:pStyle w:val="ListParagraph"/>
        <w:numPr>
          <w:ilvl w:val="0"/>
          <w:numId w:val="2"/>
        </w:numPr>
        <w:spacing w:after="40" w:line="300"/>
      </w:pPr>
      <w:r>
        <w:rPr>
          <w:rFonts w:ascii="ＭＳ ゴシック" w:cs="ＭＳ ゴシック" w:eastAsia="ＭＳ ゴシック" w:hAnsi="ＭＳ ゴシック"/>
          <w:b/>
          <w:bCs/>
          <w:sz w:val="21"/>
          <w:szCs w:val="21"/>
        </w:rPr>
        <w:t xml:space="preserve">配当時数：</w:t>
      </w:r>
      <w:r>
        <w:rPr>
          <w:rFonts w:ascii="ＭＳ 明朝" w:cs="ＭＳ 明朝" w:eastAsia="ＭＳ 明朝" w:hAnsi="ＭＳ 明朝"/>
          <w:sz w:val="21"/>
          <w:szCs w:val="21"/>
        </w:rPr>
        <w:t xml:space="preserve">4時間（1回45分）　※教科書では6時間</w:t>
      </w:r>
    </w:p>
    <w:p>
      <w:pPr>
        <w:pStyle w:val="ListParagraph"/>
        <w:numPr>
          <w:ilvl w:val="0"/>
          <w:numId w:val="2"/>
        </w:numPr>
        <w:spacing w:after="40" w:line="300"/>
      </w:pPr>
      <w:r>
        <w:rPr>
          <w:rFonts w:ascii="ＭＳ ゴシック" w:cs="ＭＳ ゴシック" w:eastAsia="ＭＳ ゴシック" w:hAnsi="ＭＳ ゴシック"/>
          <w:b/>
          <w:bCs/>
          <w:sz w:val="21"/>
          <w:szCs w:val="21"/>
        </w:rPr>
        <w:t xml:space="preserve">教科書：</w:t>
      </w:r>
      <w:r>
        <w:rPr>
          <w:rFonts w:ascii="ＭＳ 明朝" w:cs="ＭＳ 明朝" w:eastAsia="ＭＳ 明朝" w:hAnsi="ＭＳ 明朝"/>
          <w:sz w:val="21"/>
          <w:szCs w:val="21"/>
        </w:rPr>
        <w:t xml:space="preserve">東京書籍 歴史編 P.64～75</w:t>
      </w:r>
    </w:p>
    <w:p>
      <w:pPr>
        <w:pStyle w:val="ListParagraph"/>
        <w:numPr>
          <w:ilvl w:val="0"/>
          <w:numId w:val="2"/>
        </w:numPr>
        <w:spacing w:after="40" w:line="300"/>
      </w:pPr>
      <w:r>
        <w:rPr>
          <w:rFonts w:ascii="ＭＳ ゴシック" w:cs="ＭＳ ゴシック" w:eastAsia="ＭＳ ゴシック" w:hAnsi="ＭＳ ゴシック"/>
          <w:b/>
          <w:bCs/>
          <w:sz w:val="21"/>
          <w:szCs w:val="21"/>
        </w:rPr>
        <w:t xml:space="preserve">年間計画上の位置：</w:t>
      </w:r>
      <w:r>
        <w:rPr>
          <w:rFonts w:ascii="ＭＳ 明朝" w:cs="ＭＳ 明朝" w:eastAsia="ＭＳ 明朝" w:hAnsi="ＭＳ 明朝"/>
          <w:sz w:val="21"/>
          <w:szCs w:val="21"/>
        </w:rPr>
        <w:t xml:space="preserve">　　月（　　学期）</w:t>
      </w:r>
    </w:p>
    <w:p>
      <w:pPr>
        <w:pStyle w:val="ListParagraph"/>
        <w:numPr>
          <w:ilvl w:val="0"/>
          <w:numId w:val="2"/>
        </w:numPr>
        <w:spacing w:after="40" w:line="300"/>
      </w:pPr>
      <w:r>
        <w:rPr>
          <w:rFonts w:ascii="ＭＳ ゴシック" w:cs="ＭＳ ゴシック" w:eastAsia="ＭＳ ゴシック" w:hAnsi="ＭＳ ゴシック"/>
          <w:b/>
          <w:bCs/>
          <w:sz w:val="21"/>
          <w:szCs w:val="21"/>
        </w:rPr>
        <w:t xml:space="preserve">学習指導要領：</w:t>
      </w:r>
      <w:r>
        <w:rPr>
          <w:rFonts w:ascii="ＭＳ 明朝" w:cs="ＭＳ 明朝" w:eastAsia="ＭＳ 明朝" w:hAnsi="ＭＳ 明朝"/>
          <w:sz w:val="21"/>
          <w:szCs w:val="21"/>
        </w:rPr>
        <w:t xml:space="preserve">第6学年 内容(2)ア(カ)</w:t>
      </w:r>
    </w:p>
    <w:p>
      <w:pPr>
        <w:keepNext/>
        <w:pBdr>
          <w:bottom w:val="single" w:color="444444" w:sz="6" w:space="1"/>
        </w:pBdr>
        <w:spacing w:after="80" w:before="200"/>
      </w:pPr>
      <w:r>
        <w:rPr>
          <w:rFonts w:ascii="ＭＳ ゴシック" w:cs="ＭＳ ゴシック" w:eastAsia="ＭＳ ゴシック" w:hAnsi="ＭＳ ゴシック"/>
          <w:b/>
          <w:bCs/>
          <w:sz w:val="24"/>
          <w:szCs w:val="24"/>
        </w:rPr>
        <w:t xml:space="preserve">２　評価規準</w:t>
      </w:r>
    </w:p>
    <w:p>
      <w:pPr>
        <w:spacing w:after="60" w:line="300"/>
      </w:pPr>
      <w:r>
        <w:rPr>
          <w:rFonts w:ascii="ＭＳ ゴシック" w:cs="ＭＳ ゴシック" w:eastAsia="ＭＳ ゴシック" w:hAnsi="ＭＳ ゴシック"/>
          <w:b/>
          <w:bCs/>
          <w:sz w:val="21"/>
          <w:szCs w:val="21"/>
        </w:rPr>
        <w:t xml:space="preserve">【知識・技能】</w:t>
      </w:r>
    </w:p>
    <w:p>
      <w:pPr>
        <w:pStyle w:val="ListParagraph"/>
        <w:numPr>
          <w:ilvl w:val="0"/>
          <w:numId w:val="3"/>
        </w:numPr>
        <w:spacing w:after="40" w:line="300"/>
      </w:pPr>
      <w:r>
        <w:rPr>
          <w:rFonts w:ascii="ＭＳ 明朝" w:cs="ＭＳ 明朝" w:eastAsia="ＭＳ 明朝" w:hAnsi="ＭＳ 明朝"/>
          <w:sz w:val="21"/>
          <w:szCs w:val="21"/>
        </w:rPr>
        <w:t xml:space="preserve">教科書や年表などで、信長と秀吉の取り組みを6つの視点で調べ、ワークシートに分けてまとめている。</w:t>
      </w:r>
    </w:p>
    <w:p>
      <w:pPr>
        <w:pStyle w:val="ListParagraph"/>
        <w:numPr>
          <w:ilvl w:val="0"/>
          <w:numId w:val="3"/>
        </w:numPr>
        <w:spacing w:after="40" w:line="300"/>
      </w:pPr>
      <w:r>
        <w:rPr>
          <w:rFonts w:ascii="ＭＳ 明朝" w:cs="ＭＳ 明朝" w:eastAsia="ＭＳ 明朝" w:hAnsi="ＭＳ 明朝"/>
          <w:sz w:val="21"/>
          <w:szCs w:val="21"/>
        </w:rPr>
        <w:t xml:space="preserve">調べたことから、キリスト教の伝来や信長・秀吉の天下統一によって、戦国の世が統一されたことを理解している。</w:t>
      </w:r>
    </w:p>
    <w:p>
      <w:pPr>
        <w:spacing w:after="60" w:line="300"/>
      </w:pPr>
      <w:r>
        <w:rPr>
          <w:rFonts w:ascii="ＭＳ ゴシック" w:cs="ＭＳ ゴシック" w:eastAsia="ＭＳ ゴシック" w:hAnsi="ＭＳ ゴシック"/>
          <w:b/>
          <w:bCs/>
          <w:sz w:val="21"/>
          <w:szCs w:val="21"/>
        </w:rPr>
        <w:t xml:space="preserve">【思考・判断・表現】</w:t>
      </w:r>
    </w:p>
    <w:p>
      <w:pPr>
        <w:pStyle w:val="ListParagraph"/>
        <w:numPr>
          <w:ilvl w:val="0"/>
          <w:numId w:val="4"/>
        </w:numPr>
        <w:spacing w:after="40" w:line="300"/>
      </w:pPr>
      <w:r>
        <w:rPr>
          <w:rFonts w:ascii="ＭＳ 明朝" w:cs="ＭＳ 明朝" w:eastAsia="ＭＳ 明朝" w:hAnsi="ＭＳ 明朝"/>
          <w:sz w:val="21"/>
          <w:szCs w:val="21"/>
        </w:rPr>
        <w:t xml:space="preserve">信長と秀吉の取り組みを視点ごとにくらべ、同じところとちがうところを見つけている。</w:t>
      </w:r>
    </w:p>
    <w:p>
      <w:pPr>
        <w:pStyle w:val="ListParagraph"/>
        <w:numPr>
          <w:ilvl w:val="0"/>
          <w:numId w:val="4"/>
        </w:numPr>
        <w:spacing w:after="40" w:line="300"/>
      </w:pPr>
      <w:r>
        <w:rPr>
          <w:rFonts w:ascii="ＭＳ 明朝" w:cs="ＭＳ 明朝" w:eastAsia="ＭＳ 明朝" w:hAnsi="ＭＳ 明朝"/>
          <w:sz w:val="21"/>
          <w:szCs w:val="21"/>
        </w:rPr>
        <w:t xml:space="preserve">くらべたことをもとに、二人がそれぞれどんな役割を果たして天下統一が進んだのかを考え、書いたり話したりしている。</w:t>
      </w:r>
    </w:p>
    <w:p>
      <w:pPr>
        <w:spacing w:after="60" w:line="300"/>
      </w:pPr>
      <w:r>
        <w:rPr>
          <w:rFonts w:ascii="ＭＳ ゴシック" w:cs="ＭＳ ゴシック" w:eastAsia="ＭＳ ゴシック" w:hAnsi="ＭＳ ゴシック"/>
          <w:b/>
          <w:bCs/>
          <w:sz w:val="21"/>
          <w:szCs w:val="21"/>
        </w:rPr>
        <w:t xml:space="preserve">【主体的に学習に取り組む態度】</w:t>
      </w:r>
    </w:p>
    <w:p>
      <w:pPr>
        <w:pStyle w:val="ListParagraph"/>
        <w:numPr>
          <w:ilvl w:val="0"/>
          <w:numId w:val="5"/>
        </w:numPr>
        <w:spacing w:after="40" w:line="300"/>
      </w:pPr>
      <w:r>
        <w:rPr>
          <w:rFonts w:ascii="ＭＳ 明朝" w:cs="ＭＳ 明朝" w:eastAsia="ＭＳ 明朝" w:hAnsi="ＭＳ 明朝"/>
          <w:sz w:val="21"/>
          <w:szCs w:val="21"/>
        </w:rPr>
        <w:t xml:space="preserve">学習問題について見通しをもって調べ、ペアで話し合いながら、よりよい分析にしようとしている。</w:t>
      </w:r>
    </w:p>
    <w:p>
      <w:pPr>
        <w:keepNext/>
        <w:pBdr>
          <w:bottom w:val="single" w:color="444444" w:sz="6" w:space="1"/>
        </w:pBdr>
        <w:spacing w:after="80" w:before="200"/>
      </w:pPr>
      <w:r>
        <w:rPr>
          <w:rFonts w:ascii="ＭＳ ゴシック" w:cs="ＭＳ ゴシック" w:eastAsia="ＭＳ ゴシック" w:hAnsi="ＭＳ ゴシック"/>
          <w:b/>
          <w:bCs/>
          <w:sz w:val="24"/>
          <w:szCs w:val="24"/>
        </w:rPr>
        <w:t xml:space="preserve">３　指導の重点</w:t>
      </w:r>
    </w:p>
    <w:p>
      <w:pPr>
        <w:pStyle w:val="ListParagraph"/>
        <w:numPr>
          <w:ilvl w:val="0"/>
          <w:numId w:val="2"/>
        </w:numPr>
        <w:spacing w:after="40" w:line="300"/>
      </w:pPr>
      <w:r>
        <w:rPr>
          <w:rFonts w:ascii="ＭＳ ゴシック" w:cs="ＭＳ ゴシック" w:eastAsia="ＭＳ ゴシック" w:hAnsi="ＭＳ ゴシック"/>
          <w:b/>
          <w:bCs/>
          <w:sz w:val="21"/>
          <w:szCs w:val="21"/>
        </w:rPr>
        <w:t xml:space="preserve">重点①　分けて集める：</w:t>
      </w:r>
      <w:r>
        <w:rPr>
          <w:rFonts w:ascii="ＭＳ 明朝" w:cs="ＭＳ 明朝" w:eastAsia="ＭＳ 明朝" w:hAnsi="ＭＳ 明朝"/>
          <w:sz w:val="21"/>
          <w:szCs w:val="21"/>
        </w:rPr>
        <w:t xml:space="preserve">6つの視点に分けて書く。1人で、時間をたっぷりとる。</w:t>
      </w:r>
    </w:p>
    <w:p>
      <w:pPr>
        <w:pStyle w:val="ListParagraph"/>
        <w:numPr>
          <w:ilvl w:val="0"/>
          <w:numId w:val="2"/>
        </w:numPr>
        <w:spacing w:after="40" w:line="300"/>
      </w:pPr>
      <w:r>
        <w:rPr>
          <w:rFonts w:ascii="ＭＳ ゴシック" w:cs="ＭＳ ゴシック" w:eastAsia="ＭＳ ゴシック" w:hAnsi="ＭＳ ゴシック"/>
          <w:b/>
          <w:bCs/>
          <w:sz w:val="21"/>
          <w:szCs w:val="21"/>
        </w:rPr>
        <w:t xml:space="preserve">重点②　くらべて考える：</w:t>
      </w:r>
      <w:r>
        <w:rPr>
          <w:rFonts w:ascii="ＭＳ 明朝" w:cs="ＭＳ 明朝" w:eastAsia="ＭＳ 明朝" w:hAnsi="ＭＳ 明朝"/>
          <w:sz w:val="21"/>
          <w:szCs w:val="21"/>
        </w:rPr>
        <w:t xml:space="preserve">ペアで「同じところ → ちがうところ」の順に分析する。先生が例を見せてから始める。</w:t>
      </w:r>
    </w:p>
    <w:p>
      <w:pPr>
        <w:pStyle w:val="ListParagraph"/>
        <w:numPr>
          <w:ilvl w:val="0"/>
          <w:numId w:val="2"/>
        </w:numPr>
        <w:spacing w:after="40" w:line="300"/>
      </w:pPr>
      <w:r>
        <w:rPr>
          <w:rFonts w:ascii="ＭＳ ゴシック" w:cs="ＭＳ ゴシック" w:eastAsia="ＭＳ ゴシック" w:hAnsi="ＭＳ ゴシック"/>
          <w:b/>
          <w:bCs/>
          <w:sz w:val="21"/>
          <w:szCs w:val="21"/>
        </w:rPr>
        <w:t xml:space="preserve">重点③　二人の役割の違いに気づかせる：</w:t>
      </w:r>
      <w:r>
        <w:rPr>
          <w:rFonts w:ascii="ＭＳ 明朝" w:cs="ＭＳ 明朝" w:eastAsia="ＭＳ 明朝" w:hAnsi="ＭＳ 明朝"/>
          <w:sz w:val="21"/>
          <w:szCs w:val="21"/>
        </w:rPr>
        <w:t xml:space="preserve">「信長は○○、秀吉は△△」とまとめる。「だれのためのきまりか」にも目を向けさせ、次の単元につなげる。</w:t>
      </w:r>
    </w:p>
    <w:p>
      <w:pPr>
        <w:keepNext/>
        <w:pBdr>
          <w:bottom w:val="single" w:color="444444" w:sz="6" w:space="1"/>
        </w:pBdr>
        <w:spacing w:after="80" w:before="200"/>
      </w:pPr>
      <w:r>
        <w:rPr>
          <w:rFonts w:ascii="ＭＳ ゴシック" w:cs="ＭＳ ゴシック" w:eastAsia="ＭＳ ゴシック" w:hAnsi="ＭＳ ゴシック"/>
          <w:b/>
          <w:bCs/>
          <w:sz w:val="24"/>
          <w:szCs w:val="24"/>
        </w:rPr>
        <w:t xml:space="preserve">４　調べる6つの視点（ワークシート：信長｜分析｜秀吉）</w:t>
      </w:r>
    </w:p>
    <w:p>
      <w:pPr>
        <w:pStyle w:val="ListParagraph"/>
        <w:numPr>
          <w:ilvl w:val="0"/>
          <w:numId w:val="6"/>
        </w:numPr>
        <w:spacing w:after="30" w:line="280"/>
      </w:pPr>
      <w:r>
        <w:rPr>
          <w:rFonts w:ascii="ＭＳ 明朝" w:cs="ＭＳ 明朝" w:eastAsia="ＭＳ 明朝" w:hAnsi="ＭＳ 明朝"/>
          <w:sz w:val="21"/>
          <w:szCs w:val="21"/>
        </w:rPr>
        <w:t xml:space="preserve">外国人に対しての取り組みや考え（外交）</w:t>
      </w:r>
    </w:p>
    <w:p>
      <w:pPr>
        <w:pStyle w:val="ListParagraph"/>
        <w:numPr>
          <w:ilvl w:val="0"/>
          <w:numId w:val="6"/>
        </w:numPr>
        <w:spacing w:after="30" w:line="280"/>
      </w:pPr>
      <w:r>
        <w:rPr>
          <w:rFonts w:ascii="ＭＳ 明朝" w:cs="ＭＳ 明朝" w:eastAsia="ＭＳ 明朝" w:hAnsi="ＭＳ 明朝"/>
          <w:sz w:val="21"/>
          <w:szCs w:val="21"/>
        </w:rPr>
        <w:t xml:space="preserve">武士に対しての取り組みや考え（軍事）</w:t>
      </w:r>
    </w:p>
    <w:p>
      <w:pPr>
        <w:pStyle w:val="ListParagraph"/>
        <w:numPr>
          <w:ilvl w:val="0"/>
          <w:numId w:val="6"/>
        </w:numPr>
        <w:spacing w:after="30" w:line="280"/>
      </w:pPr>
      <w:r>
        <w:rPr>
          <w:rFonts w:ascii="ＭＳ 明朝" w:cs="ＭＳ 明朝" w:eastAsia="ＭＳ 明朝" w:hAnsi="ＭＳ 明朝"/>
          <w:sz w:val="21"/>
          <w:szCs w:val="21"/>
        </w:rPr>
        <w:t xml:space="preserve">農民に対しての取り組みや考え（民事）</w:t>
      </w:r>
    </w:p>
    <w:p>
      <w:pPr>
        <w:pStyle w:val="ListParagraph"/>
        <w:numPr>
          <w:ilvl w:val="0"/>
          <w:numId w:val="6"/>
        </w:numPr>
        <w:spacing w:after="30" w:line="280"/>
      </w:pPr>
      <w:r>
        <w:rPr>
          <w:rFonts w:ascii="ＭＳ 明朝" w:cs="ＭＳ 明朝" w:eastAsia="ＭＳ 明朝" w:hAnsi="ＭＳ 明朝"/>
          <w:sz w:val="21"/>
          <w:szCs w:val="21"/>
        </w:rPr>
        <w:t xml:space="preserve">商人に対しての取り組みや考え（経済）</w:t>
      </w:r>
    </w:p>
    <w:p>
      <w:pPr>
        <w:pStyle w:val="ListParagraph"/>
        <w:numPr>
          <w:ilvl w:val="0"/>
          <w:numId w:val="6"/>
        </w:numPr>
        <w:spacing w:after="30" w:line="280"/>
      </w:pPr>
      <w:r>
        <w:rPr>
          <w:rFonts w:ascii="ＭＳ 明朝" w:cs="ＭＳ 明朝" w:eastAsia="ＭＳ 明朝" w:hAnsi="ＭＳ 明朝"/>
          <w:sz w:val="21"/>
          <w:szCs w:val="21"/>
        </w:rPr>
        <w:t xml:space="preserve">朝廷や幕府に対しての取り組みや考え（政治）</w:t>
      </w:r>
    </w:p>
    <w:p>
      <w:pPr>
        <w:pStyle w:val="ListParagraph"/>
        <w:numPr>
          <w:ilvl w:val="0"/>
          <w:numId w:val="6"/>
        </w:numPr>
        <w:spacing w:after="30" w:line="280"/>
      </w:pPr>
      <w:r>
        <w:rPr>
          <w:rFonts w:ascii="ＭＳ 明朝" w:cs="ＭＳ 明朝" w:eastAsia="ＭＳ 明朝" w:hAnsi="ＭＳ 明朝"/>
          <w:sz w:val="21"/>
          <w:szCs w:val="21"/>
        </w:rPr>
        <w:t xml:space="preserve">その他</w:t>
      </w:r>
    </w:p>
    <w:p>
      <w:pPr>
        <w:spacing w:after="60" w:line="300"/>
      </w:pPr>
      <w:r>
        <w:rPr>
          <w:rFonts w:ascii="ＭＳ ゴシック" w:cs="ＭＳ ゴシック" w:eastAsia="ＭＳ ゴシック" w:hAnsi="ＭＳ ゴシック"/>
          <w:b/>
          <w:bCs/>
          <w:sz w:val="21"/>
          <w:szCs w:val="21"/>
        </w:rPr>
        <w:t xml:space="preserve">【迷いやすいものの入れ先】</w:t>
      </w:r>
    </w:p>
    <w:p>
      <w:pPr>
        <w:pStyle w:val="ListParagraph"/>
        <w:numPr>
          <w:ilvl w:val="0"/>
          <w:numId w:val="2"/>
        </w:numPr>
        <w:spacing w:after="40" w:line="300"/>
      </w:pPr>
      <w:r>
        <w:rPr>
          <w:rFonts w:ascii="ＭＳ 明朝" w:cs="ＭＳ 明朝" w:eastAsia="ＭＳ 明朝" w:hAnsi="ＭＳ 明朝"/>
          <w:sz w:val="21"/>
          <w:szCs w:val="21"/>
        </w:rPr>
        <w:t xml:space="preserve">キリスト教を守った・南蛮寺 → ①外交</w:t>
      </w:r>
    </w:p>
    <w:p>
      <w:pPr>
        <w:pStyle w:val="ListParagraph"/>
        <w:numPr>
          <w:ilvl w:val="0"/>
          <w:numId w:val="2"/>
        </w:numPr>
        <w:spacing w:after="40" w:line="300"/>
      </w:pPr>
      <w:r>
        <w:rPr>
          <w:rFonts w:ascii="ＭＳ 明朝" w:cs="ＭＳ 明朝" w:eastAsia="ＭＳ 明朝" w:hAnsi="ＭＳ 明朝"/>
          <w:sz w:val="21"/>
          <w:szCs w:val="21"/>
        </w:rPr>
        <w:t xml:space="preserve">仏教勢力を武力で従わせた・おさえた → ②軍事</w:t>
      </w:r>
    </w:p>
    <w:p>
      <w:pPr>
        <w:pStyle w:val="ListParagraph"/>
        <w:numPr>
          <w:ilvl w:val="0"/>
          <w:numId w:val="2"/>
        </w:numPr>
        <w:spacing w:after="40" w:line="300"/>
      </w:pPr>
      <w:r>
        <w:rPr>
          <w:rFonts w:ascii="ＭＳ 明朝" w:cs="ＭＳ 明朝" w:eastAsia="ＭＳ 明朝" w:hAnsi="ＭＳ 明朝"/>
          <w:sz w:val="21"/>
          <w:szCs w:val="21"/>
        </w:rPr>
        <w:t xml:space="preserve">城下町・道路や水路・物の流れ → ④経済</w:t>
      </w:r>
    </w:p>
    <w:p>
      <w:pPr>
        <w:pStyle w:val="ListParagraph"/>
        <w:numPr>
          <w:ilvl w:val="0"/>
          <w:numId w:val="2"/>
        </w:numPr>
        <w:spacing w:after="40" w:line="300"/>
      </w:pPr>
      <w:r>
        <w:rPr>
          <w:rFonts w:ascii="ＭＳ 明朝" w:cs="ＭＳ 明朝" w:eastAsia="ＭＳ 明朝" w:hAnsi="ＭＳ 明朝"/>
          <w:sz w:val="21"/>
          <w:szCs w:val="21"/>
        </w:rPr>
        <w:t xml:space="preserve">室町幕府をほろぼした・関白になった → ⑤朝廷や幕府</w:t>
      </w:r>
    </w:p>
    <w:p>
      <w:pPr>
        <w:pStyle w:val="ListParagraph"/>
        <w:numPr>
          <w:ilvl w:val="0"/>
          <w:numId w:val="2"/>
        </w:numPr>
        <w:spacing w:after="40" w:line="300"/>
      </w:pPr>
      <w:r>
        <w:rPr>
          <w:rFonts w:ascii="ＭＳ 明朝" w:cs="ＭＳ 明朝" w:eastAsia="ＭＳ 明朝" w:hAnsi="ＭＳ 明朝"/>
          <w:sz w:val="21"/>
          <w:szCs w:val="21"/>
        </w:rPr>
        <w:t xml:space="preserve">安土城・大阪城、人物のエピソード → ⑥その他</w:t>
      </w:r>
    </w:p>
    <w:p>
      <w:pPr>
        <w:pStyle w:val="ListParagraph"/>
        <w:numPr>
          <w:ilvl w:val="0"/>
          <w:numId w:val="2"/>
        </w:numPr>
        <w:spacing w:after="40" w:line="300"/>
      </w:pPr>
      <w:r>
        <w:rPr>
          <w:rFonts w:ascii="ＭＳ 明朝" w:cs="ＭＳ 明朝" w:eastAsia="ＭＳ 明朝" w:hAnsi="ＭＳ 明朝"/>
          <w:sz w:val="21"/>
          <w:szCs w:val="21"/>
        </w:rPr>
        <w:t xml:space="preserve">刀狩のように2つ以上にあてはまるものは、両方に書いてよい。</w:t>
      </w:r>
    </w:p>
    <w:p>
      <w:pPr>
        <w:spacing w:after="60" w:line="300"/>
      </w:pPr>
      <w:r>
        <w:rPr>
          <w:rFonts w:ascii="ＭＳ 明朝" w:cs="ＭＳ 明朝" w:eastAsia="ＭＳ 明朝" w:hAnsi="ＭＳ 明朝"/>
          <w:sz w:val="19"/>
          <w:szCs w:val="19"/>
        </w:rPr>
        <w:t xml:space="preserve">※学習指導要領 内容(2)ア(カ)「キリスト教の伝来」「織田・豊臣の天下統一」、解説に例示される長篠の戦い・楽市・楽座・検地・刀狩は、①～④で扱える。⑤は次単元「江戸幕府と政治の安定」へのつながりとして残す。</w:t>
      </w:r>
    </w:p>
    <w:p>
      <w:pPr>
        <w:keepNext/>
        <w:pBdr>
          <w:bottom w:val="single" w:color="444444" w:sz="6" w:space="1"/>
        </w:pBdr>
        <w:spacing w:after="80" w:before="200"/>
      </w:pPr>
      <w:r>
        <w:rPr>
          <w:rFonts w:ascii="ＭＳ ゴシック" w:cs="ＭＳ ゴシック" w:eastAsia="ＭＳ ゴシック" w:hAnsi="ＭＳ ゴシック"/>
          <w:b/>
          <w:bCs/>
          <w:sz w:val="24"/>
          <w:szCs w:val="24"/>
        </w:rPr>
        <w:t xml:space="preserve">５　クラスの様子</w:t>
      </w:r>
    </w:p>
    <w:p>
      <w:pPr>
        <w:pStyle w:val="ListParagraph"/>
        <w:numPr>
          <w:ilvl w:val="0"/>
          <w:numId w:val="2"/>
        </w:numPr>
        <w:spacing w:after="40" w:line="300"/>
      </w:pPr>
      <w:r>
        <w:rPr>
          <w:rFonts w:ascii="ＭＳ 明朝" w:cs="ＭＳ 明朝" w:eastAsia="ＭＳ 明朝" w:hAnsi="ＭＳ 明朝"/>
          <w:sz w:val="21"/>
          <w:szCs w:val="21"/>
        </w:rPr>
        <w:t xml:space="preserve">調べ学習はできる。</w:t>
      </w:r>
    </w:p>
    <w:p>
      <w:pPr>
        <w:pStyle w:val="ListParagraph"/>
        <w:numPr>
          <w:ilvl w:val="0"/>
          <w:numId w:val="2"/>
        </w:numPr>
        <w:spacing w:after="40" w:line="300"/>
      </w:pPr>
      <w:r>
        <w:rPr>
          <w:rFonts w:ascii="ＭＳ 明朝" w:cs="ＭＳ 明朝" w:eastAsia="ＭＳ 明朝" w:hAnsi="ＭＳ 明朝"/>
          <w:sz w:val="21"/>
          <w:szCs w:val="21"/>
        </w:rPr>
        <w:t xml:space="preserve">ペアの話し合いは活発だが、相手によって差が出る。</w:t>
      </w:r>
    </w:p>
    <w:p>
      <w:pPr>
        <w:pStyle w:val="ListParagraph"/>
        <w:numPr>
          <w:ilvl w:val="0"/>
          <w:numId w:val="2"/>
        </w:numPr>
        <w:spacing w:after="40" w:line="300"/>
      </w:pPr>
      <w:r>
        <w:rPr>
          <w:rFonts w:ascii="ＭＳ 明朝" w:cs="ＭＳ 明朝" w:eastAsia="ＭＳ 明朝" w:hAnsi="ＭＳ 明朝"/>
          <w:sz w:val="21"/>
          <w:szCs w:val="21"/>
        </w:rPr>
        <w:t xml:space="preserve">ロイロノートを使う。</w:t>
      </w:r>
    </w:p>
    <w:p>
      <w:pPr>
        <w:keepNext/>
        <w:pBdr>
          <w:bottom w:val="single" w:color="444444" w:sz="6" w:space="1"/>
        </w:pBdr>
        <w:spacing w:after="80" w:before="200"/>
      </w:pPr>
      <w:r>
        <w:rPr>
          <w:rFonts w:ascii="ＭＳ ゴシック" w:cs="ＭＳ ゴシック" w:eastAsia="ＭＳ ゴシック" w:hAnsi="ＭＳ ゴシック"/>
          <w:b/>
          <w:bCs/>
          <w:sz w:val="24"/>
          <w:szCs w:val="24"/>
        </w:rPr>
        <w:t xml:space="preserve">６　時間配当表</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706"/>
        <w:gridCol w:w="1100"/>
        <w:gridCol w:w="1300"/>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20" w:line="270"/>
              <w:jc w:val="center"/>
            </w:pPr>
            <w:r>
              <w:rPr>
                <w:rFonts w:ascii="ＭＳ ゴシック" w:cs="ＭＳ ゴシック" w:eastAsia="ＭＳ ゴシック" w:hAnsi="ＭＳ ゴシック"/>
                <w:b/>
                <w:bCs/>
                <w:sz w:val="19"/>
                <w:szCs w:val="19"/>
              </w:rPr>
              <w:t xml:space="preserve">時間</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20" w:line="270"/>
              <w:jc w:val="center"/>
            </w:pPr>
            <w:r>
              <w:rPr>
                <w:rFonts w:ascii="ＭＳ ゴシック" w:cs="ＭＳ ゴシック" w:eastAsia="ＭＳ ゴシック" w:hAnsi="ＭＳ ゴシック"/>
                <w:b/>
                <w:bCs/>
                <w:sz w:val="19"/>
                <w:szCs w:val="19"/>
              </w:rPr>
              <w:t xml:space="preserve">ねらい</w:t>
            </w:r>
          </w:p>
        </w:tc>
        <w:tc>
          <w:tcPr>
            <w:tcW w:type="dxa" w:w="470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20" w:line="270"/>
              <w:jc w:val="center"/>
            </w:pPr>
            <w:r>
              <w:rPr>
                <w:rFonts w:ascii="ＭＳ ゴシック" w:cs="ＭＳ ゴシック" w:eastAsia="ＭＳ ゴシック" w:hAnsi="ＭＳ ゴシック"/>
                <w:b/>
                <w:bCs/>
                <w:sz w:val="19"/>
                <w:szCs w:val="19"/>
              </w:rPr>
              <w:t xml:space="preserve">主な学習活動</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20" w:line="270"/>
              <w:jc w:val="center"/>
            </w:pPr>
            <w:r>
              <w:rPr>
                <w:rFonts w:ascii="ＭＳ ゴシック" w:cs="ＭＳ ゴシック" w:eastAsia="ＭＳ ゴシック" w:hAnsi="ＭＳ ゴシック"/>
                <w:b/>
                <w:bCs/>
                <w:sz w:val="19"/>
                <w:szCs w:val="19"/>
              </w:rPr>
              <w:t xml:space="preserve">評価</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20" w:line="270"/>
              <w:jc w:val="center"/>
            </w:pPr>
            <w:r>
              <w:rPr>
                <w:rFonts w:ascii="ＭＳ ゴシック" w:cs="ＭＳ ゴシック" w:eastAsia="ＭＳ ゴシック" w:hAnsi="ＭＳ ゴシック"/>
                <w:b/>
                <w:bCs/>
                <w:sz w:val="19"/>
                <w:szCs w:val="19"/>
              </w:rPr>
              <w:t xml:space="preserve">教科書</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第1時</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戦国の世の様子を知り、学習問題と調べる視点をつかむ</w:t>
            </w:r>
          </w:p>
        </w:tc>
        <w:tc>
          <w:tcPr>
            <w:tcW w:type="dxa" w:w="470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・長篠の戦いの屏風絵で戦国の世を知る（10分）</w:t>
            </w:r>
          </w:p>
          <w:p>
            <w:pPr>
              <w:spacing w:after="20" w:line="270"/>
            </w:pPr>
            <w:r>
              <w:rPr>
                <w:rFonts w:ascii="ＭＳ 明朝" w:cs="ＭＳ 明朝" w:eastAsia="ＭＳ 明朝" w:hAnsi="ＭＳ 明朝"/>
                <w:sz w:val="19"/>
                <w:szCs w:val="19"/>
              </w:rPr>
              <w:t xml:space="preserve">・信長クイズ →「信長を上司にしたい？」→ 大河ドラマの映像でゆさぶる → 秀吉を紹介（10分）</w:t>
            </w:r>
          </w:p>
          <w:p>
            <w:pPr>
              <w:spacing w:after="20" w:line="270"/>
            </w:pPr>
            <w:r>
              <w:rPr>
                <w:rFonts w:ascii="ＭＳ 明朝" w:cs="ＭＳ 明朝" w:eastAsia="ＭＳ 明朝" w:hAnsi="ＭＳ 明朝"/>
                <w:sz w:val="19"/>
                <w:szCs w:val="19"/>
              </w:rPr>
              <w:t xml:space="preserve">・学習問題「織田信長、豊臣秀吉は、どのようにして戦国の世を治めていったのでしょうか」を示す（5分）</w:t>
            </w:r>
          </w:p>
          <w:p>
            <w:pPr>
              <w:spacing w:after="20" w:line="270"/>
            </w:pPr>
            <w:r>
              <w:rPr>
                <w:rFonts w:ascii="ＭＳ 明朝" w:cs="ＭＳ 明朝" w:eastAsia="ＭＳ 明朝" w:hAnsi="ＭＳ 明朝"/>
                <w:sz w:val="19"/>
                <w:szCs w:val="19"/>
              </w:rPr>
              <w:t xml:space="preserve">・6つの視点とワークシートを説明し、1つ例を一緒に書く（10分）</w:t>
            </w:r>
          </w:p>
          <w:p>
            <w:pPr>
              <w:spacing w:after="20" w:line="270"/>
            </w:pPr>
            <w:r>
              <w:rPr>
                <w:rFonts w:ascii="ＭＳ 明朝" w:cs="ＭＳ 明朝" w:eastAsia="ＭＳ 明朝" w:hAnsi="ＭＳ 明朝"/>
                <w:sz w:val="19"/>
                <w:szCs w:val="19"/>
              </w:rPr>
              <w:t xml:space="preserve">・調べはじめる（10分）</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態度①</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P.64～67</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第2時</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信長と秀吉の取り組みを、6つの視点に分けて調べる</w:t>
            </w:r>
          </w:p>
        </w:tc>
        <w:tc>
          <w:tcPr>
            <w:tcW w:type="dxa" w:w="470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・1人で調べ、ワークシートに書く（40分）</w:t>
            </w:r>
          </w:p>
          <w:p>
            <w:pPr>
              <w:spacing w:after="20" w:line="270"/>
            </w:pPr>
            <w:r>
              <w:rPr>
                <w:rFonts w:ascii="ＭＳ 明朝" w:cs="ＭＳ 明朝" w:eastAsia="ＭＳ 明朝" w:hAnsi="ＭＳ 明朝"/>
                <w:sz w:val="19"/>
                <w:szCs w:val="19"/>
              </w:rPr>
              <w:t xml:space="preserve">・どの視点に入れるか迷ったものを全体で確認する（5分）</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知技①</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P.68～73</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第3時</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信長と秀吉をくらべて、同じところとちがうところを見つける</w:t>
            </w:r>
          </w:p>
        </w:tc>
        <w:tc>
          <w:tcPr>
            <w:tcW w:type="dxa" w:w="470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・調べの続き（15分）</w:t>
            </w:r>
          </w:p>
          <w:p>
            <w:pPr>
              <w:spacing w:after="20" w:line="270"/>
            </w:pPr>
            <w:r>
              <w:rPr>
                <w:rFonts w:ascii="ＭＳ 明朝" w:cs="ＭＳ 明朝" w:eastAsia="ＭＳ 明朝" w:hAnsi="ＭＳ 明朝"/>
                <w:sz w:val="19"/>
                <w:szCs w:val="19"/>
              </w:rPr>
              <w:t xml:space="preserve">・先生が分析の例を1つ見せる（5分）</w:t>
            </w:r>
          </w:p>
          <w:p>
            <w:pPr>
              <w:spacing w:after="20" w:line="270"/>
            </w:pPr>
            <w:r>
              <w:rPr>
                <w:rFonts w:ascii="ＭＳ 明朝" w:cs="ＭＳ 明朝" w:eastAsia="ＭＳ 明朝" w:hAnsi="ＭＳ 明朝"/>
                <w:sz w:val="19"/>
                <w:szCs w:val="19"/>
              </w:rPr>
              <w:t xml:space="preserve">・ペアで「同じところ → ちがうところ」の順に分析し、分析の欄に書く（25分）</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思判表①</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P.68～73</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第4時</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二人の役割を考え、学習問題について自分の考えをまとめる</w:t>
            </w:r>
          </w:p>
        </w:tc>
        <w:tc>
          <w:tcPr>
            <w:tcW w:type="dxa" w:w="470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・ほかのペアの分析を見て、付け足す（10分）</w:t>
            </w:r>
          </w:p>
          <w:p>
            <w:pPr>
              <w:spacing w:after="20" w:line="270"/>
            </w:pPr>
            <w:r>
              <w:rPr>
                <w:rFonts w:ascii="ＭＳ 明朝" w:cs="ＭＳ 明朝" w:eastAsia="ＭＳ 明朝" w:hAnsi="ＭＳ 明朝"/>
                <w:sz w:val="19"/>
                <w:szCs w:val="19"/>
              </w:rPr>
              <w:t xml:space="preserve">・全体で話し合い、先生の説明で整理する（15分）</w:t>
            </w:r>
          </w:p>
          <w:p>
            <w:pPr>
              <w:spacing w:after="20" w:line="270"/>
            </w:pPr>
            <w:r>
              <w:rPr>
                <w:rFonts w:ascii="ＭＳ 明朝" w:cs="ＭＳ 明朝" w:eastAsia="ＭＳ 明朝" w:hAnsi="ＭＳ 明朝"/>
                <w:sz w:val="19"/>
                <w:szCs w:val="19"/>
              </w:rPr>
              <w:t xml:space="preserve">・「信長は○○、秀吉は△△をして天下統一が進んだ」と自分の考えを書く（20分）</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思判表②</w:t>
            </w:r>
          </w:p>
          <w:p>
            <w:pPr>
              <w:spacing w:after="20" w:line="270"/>
            </w:pPr>
            <w:r>
              <w:rPr>
                <w:rFonts w:ascii="ＭＳ 明朝" w:cs="ＭＳ 明朝" w:eastAsia="ＭＳ 明朝" w:hAnsi="ＭＳ 明朝"/>
                <w:sz w:val="19"/>
                <w:szCs w:val="19"/>
              </w:rPr>
              <w:t xml:space="preserve">知技②</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20" w:line="270"/>
            </w:pPr>
            <w:r>
              <w:rPr>
                <w:rFonts w:ascii="ＭＳ 明朝" w:cs="ＭＳ 明朝" w:eastAsia="ＭＳ 明朝" w:hAnsi="ＭＳ 明朝"/>
                <w:sz w:val="19"/>
                <w:szCs w:val="19"/>
              </w:rPr>
              <w:t xml:space="preserve">P.74～75</w:t>
            </w:r>
          </w:p>
        </w:tc>
      </w:tr>
    </w:tbl>
    <w:p>
      <w:pPr>
        <w:keepNext/>
        <w:pBdr>
          <w:bottom w:val="single" w:color="444444" w:sz="6" w:space="1"/>
        </w:pBdr>
        <w:spacing w:after="80" w:before="200"/>
      </w:pPr>
      <w:r>
        <w:rPr>
          <w:rFonts w:ascii="ＭＳ ゴシック" w:cs="ＭＳ ゴシック" w:eastAsia="ＭＳ ゴシック" w:hAnsi="ＭＳ ゴシック"/>
          <w:b/>
          <w:bCs/>
          <w:sz w:val="24"/>
          <w:szCs w:val="24"/>
        </w:rPr>
        <w:t xml:space="preserve">７　つまずきへの対応</w:t>
      </w:r>
    </w:p>
    <w:p>
      <w:pPr>
        <w:pStyle w:val="ListParagraph"/>
        <w:numPr>
          <w:ilvl w:val="0"/>
          <w:numId w:val="2"/>
        </w:numPr>
        <w:spacing w:after="40" w:line="300"/>
      </w:pPr>
      <w:r>
        <w:rPr>
          <w:rFonts w:ascii="ＭＳ ゴシック" w:cs="ＭＳ ゴシック" w:eastAsia="ＭＳ ゴシック" w:hAnsi="ＭＳ ゴシック"/>
          <w:b/>
          <w:bCs/>
          <w:sz w:val="21"/>
          <w:szCs w:val="21"/>
        </w:rPr>
        <w:t xml:space="preserve">どの視点に書くか迷う：</w:t>
      </w:r>
      <w:r>
        <w:rPr>
          <w:rFonts w:ascii="ＭＳ 明朝" w:cs="ＭＳ 明朝" w:eastAsia="ＭＳ 明朝" w:hAnsi="ＭＳ 明朝"/>
          <w:sz w:val="21"/>
          <w:szCs w:val="21"/>
        </w:rPr>
        <w:t xml:space="preserve">第1時で「2つ以上の視点に書いてよい」と伝える。第2時の最後に、迷ったものを全体で確認する。</w:t>
      </w:r>
    </w:p>
    <w:p>
      <w:pPr>
        <w:pStyle w:val="ListParagraph"/>
        <w:numPr>
          <w:ilvl w:val="0"/>
          <w:numId w:val="2"/>
        </w:numPr>
        <w:spacing w:after="40" w:line="300"/>
      </w:pPr>
      <w:r>
        <w:rPr>
          <w:rFonts w:ascii="ＭＳ ゴシック" w:cs="ＭＳ ゴシック" w:eastAsia="ＭＳ ゴシック" w:hAnsi="ＭＳ ゴシック"/>
          <w:b/>
          <w:bCs/>
          <w:sz w:val="21"/>
          <w:szCs w:val="21"/>
        </w:rPr>
        <w:t xml:space="preserve">分析がまとめ直しになる：</w:t>
      </w:r>
      <w:r>
        <w:rPr>
          <w:rFonts w:ascii="ＭＳ 明朝" w:cs="ＭＳ 明朝" w:eastAsia="ＭＳ 明朝" w:hAnsi="ＭＳ 明朝"/>
          <w:sz w:val="21"/>
          <w:szCs w:val="21"/>
        </w:rPr>
        <w:t xml:space="preserve">第3時で先生が例を見せる。「同じところは～」「ちがうところは～」の書き出しを示す。</w:t>
      </w:r>
    </w:p>
    <w:p>
      <w:pPr>
        <w:pStyle w:val="ListParagraph"/>
        <w:numPr>
          <w:ilvl w:val="0"/>
          <w:numId w:val="2"/>
        </w:numPr>
        <w:spacing w:after="40" w:line="300"/>
      </w:pPr>
      <w:r>
        <w:rPr>
          <w:rFonts w:ascii="ＭＳ ゴシック" w:cs="ＭＳ ゴシック" w:eastAsia="ＭＳ ゴシック" w:hAnsi="ＭＳ ゴシック"/>
          <w:b/>
          <w:bCs/>
          <w:sz w:val="21"/>
          <w:szCs w:val="21"/>
        </w:rPr>
        <w:t xml:space="preserve">言葉が難しい：</w:t>
      </w:r>
      <w:r>
        <w:rPr>
          <w:rFonts w:ascii="ＭＳ 明朝" w:cs="ＭＳ 明朝" w:eastAsia="ＭＳ 明朝" w:hAnsi="ＭＳ 明朝"/>
          <w:sz w:val="21"/>
          <w:szCs w:val="21"/>
        </w:rPr>
        <w:t xml:space="preserve">第2時で、教科書の「ことば」コーナーを見るように声をかける。</w:t>
      </w:r>
    </w:p>
    <w:p>
      <w:pPr>
        <w:pStyle w:val="ListParagraph"/>
        <w:numPr>
          <w:ilvl w:val="0"/>
          <w:numId w:val="2"/>
        </w:numPr>
        <w:spacing w:after="40" w:line="300"/>
      </w:pPr>
      <w:r>
        <w:rPr>
          <w:rFonts w:ascii="ＭＳ ゴシック" w:cs="ＭＳ ゴシック" w:eastAsia="ＭＳ ゴシック" w:hAnsi="ＭＳ ゴシック"/>
          <w:b/>
          <w:bCs/>
          <w:sz w:val="21"/>
          <w:szCs w:val="21"/>
        </w:rPr>
        <w:t xml:space="preserve">書くことがない欄で困る：</w:t>
      </w:r>
      <w:r>
        <w:rPr>
          <w:rFonts w:ascii="ＭＳ 明朝" w:cs="ＭＳ 明朝" w:eastAsia="ＭＳ 明朝" w:hAnsi="ＭＳ 明朝"/>
          <w:sz w:val="21"/>
          <w:szCs w:val="21"/>
        </w:rPr>
        <w:t xml:space="preserve">第1時で「空いている欄も大事な発見」と伝える。</w:t>
      </w:r>
    </w:p>
    <w:p>
      <w:pPr>
        <w:pStyle w:val="ListParagraph"/>
        <w:numPr>
          <w:ilvl w:val="0"/>
          <w:numId w:val="2"/>
        </w:numPr>
        <w:spacing w:after="40" w:line="300"/>
      </w:pPr>
      <w:r>
        <w:rPr>
          <w:rFonts w:ascii="ＭＳ ゴシック" w:cs="ＭＳ ゴシック" w:eastAsia="ＭＳ ゴシック" w:hAnsi="ＭＳ ゴシック"/>
          <w:b/>
          <w:bCs/>
          <w:sz w:val="21"/>
          <w:szCs w:val="21"/>
        </w:rPr>
        <w:t xml:space="preserve">ペアの相手で差が出る：</w:t>
      </w:r>
      <w:r>
        <w:rPr>
          <w:rFonts w:ascii="ＭＳ 明朝" w:cs="ＭＳ 明朝" w:eastAsia="ＭＳ 明朝" w:hAnsi="ＭＳ 明朝"/>
          <w:sz w:val="21"/>
          <w:szCs w:val="21"/>
        </w:rPr>
        <w:t xml:space="preserve">第4時に、ロイロノートの提出箱で全員の分析を見られるようにする。</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EnclosedCircle"/>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2026-10-25T14:45:10.585Z</dcterms:created>
  <dcterms:modified xsi:type="dcterms:W3CDTF">2026-10-25T14:45:10.586Z</dcterms:modified>
</cp:coreProperties>
</file>

<file path=docProps/custom.xml><?xml version="1.0" encoding="utf-8"?>
<Properties xmlns="http://schemas.openxmlformats.org/officeDocument/2006/custom-properties" xmlns:vt="http://schemas.openxmlformats.org/officeDocument/2006/docPropsVTypes"/>
</file>