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footer3.xml" ContentType="application/vnd.openxmlformats-officedocument.wordprocessingml.footer+xml"/>
  <Override PartName="/word/footer2.xml" ContentType="application/vnd.openxmlformats-officedocument.wordprocessingml.footer+xml"/>
  <Override PartName="/word/media/image1.tiff" ContentType="image/tiff"/>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oter4.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360" w:lineRule="auto"/>
      </w:pPr>
      <w:r>
        <w:rPr>
          <w:rFonts w:cs="Calibri"/>
          <w:b/>
          <w:color w:val="000000"/>
          <w:sz w:val="40"/>
          <w:szCs w:val="40"/>
          <w:lang w:val="en-US"/>
        </w:rPr>
        <w:t xml:space="preserve">      </w:t>
      </w:r>
      <w:r>
        <w:rPr>
          <w:rFonts w:cs="Calibri"/>
          <w:b/>
          <w:color w:val="000000"/>
          <w:sz w:val="40"/>
          <w:szCs w:val="40"/>
          <w:lang w:val="en-US"/>
        </w:rPr>
        <w:t>Do fight-or-flight reflexes derail human conflict?</w:t>
      </w:r>
    </w:p>
    <w:p>
      <w:pPr>
        <w:pStyle w:val="style0"/>
        <w:spacing w:line="360" w:lineRule="auto"/>
        <w:jc w:val="center"/>
      </w:pPr>
      <w:r>
        <w:rPr>
          <w:rFonts w:cs="Calibri"/>
          <w:b/>
          <w:color w:val="000000"/>
          <w:sz w:val="40"/>
          <w:szCs w:val="40"/>
          <w:lang w:val="en-US"/>
        </w:rPr>
        <w:t>Justin Chumbley</w:t>
      </w:r>
    </w:p>
    <w:p>
      <w:pPr>
        <w:pStyle w:val="style0"/>
        <w:spacing w:line="360" w:lineRule="auto"/>
        <w:jc w:val="both"/>
      </w:pPr>
      <w:r>
        <w:rPr>
          <w:rFonts w:cs="Calibri"/>
          <w:color w:val="000000"/>
          <w:lang w:val="en-US"/>
        </w:rPr>
        <w:t>Evolution has provided all animals with hard-wired “stress responses”, including preprogrammed behavioral [</w:t>
      </w:r>
      <w:hyperlink w:anchor="_ENREF_1">
        <w:r>
          <w:rPr>
            <w:rStyle w:val="style18"/>
            <w:rFonts w:cs="Calibri"/>
            <w:color w:val="000000"/>
            <w:lang w:val="en-US"/>
          </w:rPr>
          <w:t>1</w:t>
        </w:r>
      </w:hyperlink>
      <w:r>
        <w:rPr>
          <w:rFonts w:cs="Calibri"/>
          <w:color w:val="000000"/>
          <w:lang w:val="en-US"/>
        </w:rPr>
        <w:t>] and hormonal [</w:t>
      </w:r>
      <w:hyperlink w:anchor="_ENREF_2">
        <w:r>
          <w:rPr>
            <w:rStyle w:val="style18"/>
            <w:rFonts w:cs="Calibri"/>
            <w:color w:val="000000"/>
            <w:lang w:val="en-US"/>
          </w:rPr>
          <w:t>2</w:t>
        </w:r>
      </w:hyperlink>
      <w:r>
        <w:rPr>
          <w:rFonts w:cs="Calibri"/>
          <w:color w:val="000000"/>
          <w:lang w:val="en-US"/>
        </w:rPr>
        <w:t>] defensive reactions to social conflict. Despite natural selection, the</w:t>
      </w:r>
      <w:r>
        <w:rPr>
          <w:rFonts w:cs="Calibri"/>
          <w:i/>
          <w:color w:val="000000"/>
          <w:lang w:val="en-US"/>
        </w:rPr>
        <w:t xml:space="preserve"> hormonal stress response</w:t>
      </w:r>
      <w:r>
        <w:rPr>
          <w:rFonts w:cs="Calibri"/>
          <w:color w:val="000000"/>
          <w:lang w:val="en-US"/>
        </w:rPr>
        <w:t xml:space="preserve"> (HSR) can have disastrous consequences: psychosocial stress is a number one killer in the west [</w:t>
      </w:r>
      <w:hyperlink w:anchor="_ENREF_3">
        <w:r>
          <w:rPr>
            <w:rStyle w:val="style18"/>
            <w:rFonts w:cs="Calibri"/>
            <w:color w:val="000000"/>
            <w:lang w:val="en-US"/>
          </w:rPr>
          <w:t>3</w:t>
        </w:r>
      </w:hyperlink>
      <w:r>
        <w:rPr>
          <w:rFonts w:cs="Calibri"/>
          <w:color w:val="000000"/>
          <w:lang w:val="en-US"/>
        </w:rPr>
        <w:t xml:space="preserve">]. In contrast, the impact and cost of </w:t>
      </w:r>
      <w:r>
        <w:rPr>
          <w:rFonts w:cs="Calibri"/>
          <w:i/>
          <w:color w:val="000000"/>
          <w:lang w:val="en-US"/>
        </w:rPr>
        <w:t xml:space="preserve">behavioral stress responses </w:t>
      </w:r>
      <w:r>
        <w:rPr>
          <w:rFonts w:cs="Calibri"/>
          <w:color w:val="000000"/>
          <w:lang w:val="en-US"/>
        </w:rPr>
        <w:t xml:space="preserve">(BSRs) for human welfare is poorly understood. </w:t>
      </w:r>
    </w:p>
    <w:p>
      <w:pPr>
        <w:pStyle w:val="style0"/>
        <w:spacing w:line="360" w:lineRule="auto"/>
        <w:jc w:val="both"/>
      </w:pPr>
      <w:r>
        <w:rPr>
          <w:rFonts w:cs="Calibri"/>
          <w:color w:val="000000"/>
          <w:lang w:val="en-US"/>
        </w:rPr>
        <w:t xml:space="preserve">This project will examine the impact of BSRs on human conflict. To experimentally manipulate BSRs during social interaction, we will vary subjects’ exposure to threat stimuli as they play strategic games on a computer network. We hypothesize these experimental threats trigger defensive BSRs, causing subjects to depart from ideal defensive behavior, as defined game-theoretically. We hypothesize that this unhelpful defensiveness is more common among individuals with </w:t>
      </w:r>
      <w:r>
        <w:rPr>
          <w:rFonts w:cs="Calibri"/>
          <w:i/>
          <w:color w:val="000000"/>
          <w:lang w:val="en-US"/>
        </w:rPr>
        <w:t>defensive personality traits</w:t>
      </w:r>
      <w:r>
        <w:rPr>
          <w:rFonts w:cs="Calibri"/>
          <w:color w:val="000000"/>
          <w:lang w:val="en-US"/>
        </w:rPr>
        <w:t xml:space="preserve"> [</w:t>
      </w:r>
      <w:hyperlink w:anchor="_ENREF_4">
        <w:r>
          <w:rPr>
            <w:rStyle w:val="style18"/>
            <w:rFonts w:cs="Calibri"/>
            <w:color w:val="000000"/>
            <w:lang w:val="en-US"/>
          </w:rPr>
          <w:t>4</w:t>
        </w:r>
      </w:hyperlink>
      <w:r>
        <w:rPr>
          <w:rFonts w:cs="Calibri"/>
          <w:color w:val="000000"/>
          <w:lang w:val="en-US"/>
        </w:rPr>
        <w:t>,</w:t>
      </w:r>
      <w:hyperlink w:anchor="_ENREF_5">
        <w:r>
          <w:rPr>
            <w:rStyle w:val="style18"/>
            <w:rFonts w:cs="Calibri"/>
            <w:color w:val="000000"/>
            <w:lang w:val="en-US"/>
          </w:rPr>
          <w:t>5</w:t>
        </w:r>
      </w:hyperlink>
      <w:r>
        <w:rPr>
          <w:rFonts w:cs="Calibri"/>
          <w:color w:val="000000"/>
          <w:lang w:val="en-US"/>
        </w:rPr>
        <w:t>,</w:t>
      </w:r>
      <w:hyperlink w:anchor="_ENREF_6">
        <w:r>
          <w:rPr>
            <w:rStyle w:val="style18"/>
            <w:rFonts w:cs="Calibri"/>
            <w:color w:val="000000"/>
            <w:lang w:val="en-US"/>
          </w:rPr>
          <w:t>6</w:t>
        </w:r>
      </w:hyperlink>
      <w:r>
        <w:rPr>
          <w:rFonts w:cs="Calibri"/>
          <w:color w:val="000000"/>
          <w:lang w:val="en-US"/>
        </w:rPr>
        <w:t>,</w:t>
      </w:r>
      <w:hyperlink w:anchor="_ENREF_7">
        <w:r>
          <w:rPr>
            <w:rStyle w:val="style18"/>
            <w:rFonts w:cs="Calibri"/>
            <w:color w:val="000000"/>
            <w:lang w:val="en-US"/>
          </w:rPr>
          <w:t>7</w:t>
        </w:r>
      </w:hyperlink>
      <w:r>
        <w:rPr>
          <w:rFonts w:cs="Calibri"/>
          <w:color w:val="000000"/>
          <w:lang w:val="en-US"/>
        </w:rPr>
        <w:t>,</w:t>
      </w:r>
      <w:hyperlink w:anchor="_ENREF_8">
        <w:r>
          <w:rPr>
            <w:rStyle w:val="style18"/>
            <w:rFonts w:cs="Calibri"/>
            <w:color w:val="000000"/>
            <w:lang w:val="en-US"/>
          </w:rPr>
          <w:t>8</w:t>
        </w:r>
      </w:hyperlink>
      <w:r>
        <w:rPr>
          <w:rFonts w:cs="Calibri"/>
          <w:color w:val="000000"/>
          <w:lang w:val="en-US"/>
        </w:rPr>
        <w:t>,</w:t>
      </w:r>
      <w:hyperlink w:anchor="_ENREF_9">
        <w:r>
          <w:rPr>
            <w:rStyle w:val="style18"/>
            <w:rFonts w:cs="Calibri"/>
            <w:color w:val="000000"/>
            <w:lang w:val="en-US"/>
          </w:rPr>
          <w:t>9</w:t>
        </w:r>
      </w:hyperlink>
      <w:r>
        <w:rPr>
          <w:rFonts w:cs="Calibri"/>
          <w:color w:val="000000"/>
          <w:lang w:val="en-US"/>
        </w:rPr>
        <w:t>,</w:t>
      </w:r>
      <w:hyperlink w:anchor="_ENREF_10">
        <w:r>
          <w:rPr>
            <w:rStyle w:val="style18"/>
            <w:rFonts w:cs="Calibri"/>
            <w:color w:val="000000"/>
            <w:lang w:val="en-US"/>
          </w:rPr>
          <w:t>10</w:t>
        </w:r>
      </w:hyperlink>
      <w:r>
        <w:rPr>
          <w:rFonts w:cs="Calibri"/>
          <w:color w:val="000000"/>
          <w:lang w:val="en-US"/>
        </w:rPr>
        <w:t>,</w:t>
      </w:r>
      <w:hyperlink w:anchor="_ENREF_11">
        <w:r>
          <w:rPr>
            <w:rStyle w:val="style18"/>
            <w:rFonts w:cs="Calibri"/>
            <w:color w:val="000000"/>
            <w:lang w:val="en-US"/>
          </w:rPr>
          <w:t>11</w:t>
        </w:r>
      </w:hyperlink>
      <w:r>
        <w:rPr>
          <w:rFonts w:cs="Calibri"/>
          <w:color w:val="000000"/>
          <w:lang w:val="en-US"/>
        </w:rPr>
        <w:t>]. There are two parts to the proposed project.</w:t>
      </w:r>
    </w:p>
    <w:p>
      <w:pPr>
        <w:pStyle w:val="style39"/>
        <w:numPr>
          <w:ilvl w:val="0"/>
          <w:numId w:val="2"/>
        </w:numPr>
        <w:spacing w:line="360" w:lineRule="auto"/>
        <w:jc w:val="both"/>
      </w:pPr>
      <w:r>
        <w:rPr>
          <w:rFonts w:cs="Calibri"/>
          <w:b/>
          <w:color w:val="000000"/>
          <w:lang w:val="en-US"/>
        </w:rPr>
        <w:t>Behavioral experiments:</w:t>
      </w:r>
      <w:r>
        <w:rPr>
          <w:rFonts w:cs="Calibri"/>
          <w:color w:val="000000"/>
          <w:lang w:val="en-US"/>
        </w:rPr>
        <w:t xml:space="preserve"> In pilot studies I have already measured defensive strategies in bilateral conflicts. These data are the first of their kind and suggest that BSRs do indeed compromise strategic behavior. I will replicate/extend these results before analyzing the underlying biology. </w:t>
      </w:r>
    </w:p>
    <w:p>
      <w:pPr>
        <w:pStyle w:val="style39"/>
        <w:numPr>
          <w:ilvl w:val="0"/>
          <w:numId w:val="2"/>
        </w:numPr>
        <w:spacing w:line="360" w:lineRule="auto"/>
        <w:jc w:val="both"/>
      </w:pPr>
      <w:r>
        <w:rPr>
          <w:rFonts w:cs="Calibri"/>
          <w:b/>
          <w:color w:val="000000"/>
          <w:lang w:val="en-US"/>
        </w:rPr>
        <w:t>The basis of individual differences:</w:t>
      </w:r>
      <w:r>
        <w:rPr>
          <w:rFonts w:cs="Calibri"/>
          <w:color w:val="000000"/>
          <w:lang w:val="en-US"/>
        </w:rPr>
        <w:t xml:space="preserve"> I will correlate individual BSR effects with other measures of stress responsiveness: hormonal (cortisol) and electrodermal reactivity, and personality measures of defensive affect. Using fMRI I will concurrently measure </w:t>
      </w:r>
      <w:r>
        <w:rPr>
          <w:rFonts w:cs="Calibri"/>
          <w:i/>
          <w:color w:val="000000"/>
          <w:lang w:val="en-US"/>
        </w:rPr>
        <w:t>neuronal</w:t>
      </w:r>
      <w:r>
        <w:rPr>
          <w:rFonts w:cs="Calibri"/>
          <w:color w:val="000000"/>
          <w:lang w:val="en-US"/>
        </w:rPr>
        <w:t xml:space="preserve"> responses during conflict. I aim to predict individual differences in defensive social behavior from the reactivity of subcortical systems mediating BSRs (e.g. periaqueductal grey, central amygdala).  </w:t>
      </w:r>
    </w:p>
    <w:p>
      <w:pPr>
        <w:sectPr>
          <w:footerReference r:id="rId2" w:type="even"/>
          <w:footerReference r:id="rId3" w:type="default"/>
          <w:type w:val="nextPage"/>
          <w:pgSz w:h="16838" w:w="11906"/>
          <w:pgMar w:bottom="1440" w:footer="720" w:gutter="0" w:header="0" w:left="1440" w:right="1440" w:top="1440"/>
          <w:pgNumType w:fmt="decimal"/>
          <w:formProt w:val="false"/>
          <w:titlePg/>
          <w:textDirection w:val="lrTb"/>
          <w:docGrid w:charSpace="4096" w:linePitch="360" w:type="default"/>
        </w:sectPr>
        <w:pStyle w:val="style0"/>
        <w:spacing w:line="360" w:lineRule="auto"/>
        <w:jc w:val="both"/>
      </w:pPr>
      <w:r>
        <w:rPr>
          <w:rFonts w:cs="Calibri"/>
          <w:color w:val="000000"/>
          <w:lang w:val="en-US"/>
        </w:rPr>
        <w:t xml:space="preserve">This work sets the foundation for identifying expression of these pathogenic mechanisms in clinically distressed versus healthy populations. </w:t>
      </w:r>
    </w:p>
    <w:p>
      <w:pPr>
        <w:pStyle w:val="style0"/>
        <w:spacing w:line="360" w:lineRule="auto"/>
        <w:jc w:val="center"/>
      </w:pPr>
      <w:r>
        <w:rPr>
          <w:rFonts w:cs="Calibri"/>
          <w:b/>
          <w:bCs/>
          <w:color w:val="000000"/>
          <w:lang w:val="en-US"/>
        </w:rPr>
      </w:r>
    </w:p>
    <w:p>
      <w:pPr>
        <w:pStyle w:val="style47"/>
        <w:pageBreakBefore/>
        <w:spacing w:line="360" w:lineRule="auto"/>
        <w:jc w:val="both"/>
      </w:pPr>
      <w:r>
        <w:rPr>
          <w:rFonts w:ascii="Calibri" w:cs="Calibri" w:hAnsi="Calibri"/>
          <w:color w:val="00000A"/>
          <w:sz w:val="22"/>
          <w:szCs w:val="22"/>
        </w:rPr>
        <w:t>Table of Contents</w:t>
      </w:r>
    </w:p>
    <w:p>
      <w:pPr>
        <w:sectPr>
          <w:footerReference r:id="rId4" w:type="even"/>
          <w:footerReference r:id="rId5" w:type="default"/>
          <w:type w:val="nextPage"/>
          <w:pgSz w:h="16838" w:w="11906"/>
          <w:pgMar w:bottom="1440" w:footer="720" w:gutter="0" w:header="0" w:left="1440" w:right="1440" w:top="1440"/>
          <w:pgNumType w:fmt="decimal"/>
          <w:formProt w:val="false"/>
          <w:textDirection w:val="lrTb"/>
          <w:docGrid w:charSpace="4096" w:linePitch="360" w:type="default"/>
        </w:sectPr>
      </w:pPr>
    </w:p>
    <w:p>
      <w:pPr>
        <w:pStyle w:val="style49"/>
        <w:tabs>
          <w:tab w:leader="dot" w:pos="9246" w:val="right"/>
        </w:tabs>
      </w:pPr>
      <w:r>
        <w:fldChar w:fldCharType="begin"/>
      </w:r>
      <w:r>
        <w:instrText> TOC </w:instrText>
      </w:r>
      <w:r>
        <w:fldChar w:fldCharType="separate"/>
      </w:r>
      <w:hyperlink w:anchor="__RefHeading__1161_697317409">
        <w:r>
          <w:rPr>
            <w:rStyle w:val="style33"/>
          </w:rPr>
          <w:t xml:space="preserve">1.1. Statement of research  </w:t>
          <w:tab/>
          <w:t>3</w:t>
        </w:r>
      </w:hyperlink>
    </w:p>
    <w:p>
      <w:pPr>
        <w:pStyle w:val="style50"/>
        <w:tabs>
          <w:tab w:leader="dot" w:pos="9466" w:val="right"/>
        </w:tabs>
      </w:pPr>
      <w:hyperlink w:anchor="__RefHeading__1163_697317409">
        <w:r>
          <w:rPr>
            <w:rStyle w:val="style33"/>
          </w:rPr>
          <w:t>Defensive behavioral inhibition</w:t>
          <w:tab/>
          <w:t>3</w:t>
        </w:r>
      </w:hyperlink>
    </w:p>
    <w:p>
      <w:pPr>
        <w:pStyle w:val="style49"/>
        <w:tabs>
          <w:tab w:leader="dot" w:pos="9246" w:val="right"/>
        </w:tabs>
      </w:pPr>
      <w:hyperlink w:anchor="__RefHeading__1165_697317409">
        <w:r>
          <w:rPr>
            <w:rStyle w:val="style33"/>
          </w:rPr>
          <w:t xml:space="preserve">1.3. Timetable for the project </w:t>
          <w:tab/>
          <w:t>4</w:t>
        </w:r>
      </w:hyperlink>
    </w:p>
    <w:p>
      <w:pPr>
        <w:pStyle w:val="style49"/>
        <w:tabs>
          <w:tab w:leader="dot" w:pos="9246" w:val="right"/>
        </w:tabs>
      </w:pPr>
      <w:hyperlink w:anchor="__RefHeading__1167_697317409">
        <w:r>
          <w:rPr>
            <w:rStyle w:val="style33"/>
          </w:rPr>
          <w:t xml:space="preserve">1.4. Significance of the planned research </w:t>
          <w:tab/>
          <w:t>5</w:t>
        </w:r>
      </w:hyperlink>
    </w:p>
    <w:p>
      <w:pPr>
        <w:pStyle w:val="style48"/>
        <w:tabs>
          <w:tab w:leader="dot" w:pos="9026" w:val="right"/>
        </w:tabs>
      </w:pPr>
      <w:hyperlink w:anchor="__RefHeading__1169_697317409">
        <w:r>
          <w:rPr>
            <w:rStyle w:val="style33"/>
          </w:rPr>
          <w:t>2. References</w:t>
          <w:tab/>
          <w:t>6</w:t>
        </w:r>
        <w:r>
          <w:fldChar w:fldCharType="end"/>
        </w:r>
      </w:hyperlink>
    </w:p>
    <w:p>
      <w:pPr>
        <w:sectPr>
          <w:type w:val="continuous"/>
          <w:pgSz w:h="16838" w:w="11906"/>
          <w:pgMar w:bottom="1440" w:footer="720" w:gutter="0" w:header="0" w:left="1440" w:right="1440" w:top="1440"/>
          <w:formProt/>
          <w:textDirection w:val="lrTb"/>
          <w:docGrid w:charSpace="4096" w:linePitch="360" w:type="default"/>
        </w:sectPr>
      </w:pPr>
    </w:p>
    <w:p>
      <w:pPr>
        <w:pStyle w:val="style48"/>
        <w:tabs>
          <w:tab w:leader="dot" w:pos="9016" w:val="right"/>
        </w:tabs>
        <w:spacing w:line="360" w:lineRule="auto"/>
        <w:jc w:val="both"/>
      </w:pPr>
      <w:hyperlink w:anchor="_Toc317064611">
        <w:r>
          <w:rPr/>
        </w:r>
      </w:hyperlink>
    </w:p>
    <w:p>
      <w:pPr>
        <w:pStyle w:val="style0"/>
        <w:spacing w:line="360" w:lineRule="auto"/>
        <w:jc w:val="both"/>
      </w:pPr>
      <w:r>
        <w:rPr>
          <w:rFonts w:cs="Calibri"/>
          <w:b/>
          <w:bCs/>
          <w:color w:val="000000"/>
          <w:lang w:val="en-US"/>
        </w:rPr>
      </w:r>
    </w:p>
    <w:p>
      <w:pPr>
        <w:pStyle w:val="style0"/>
        <w:spacing w:line="360" w:lineRule="auto"/>
        <w:jc w:val="both"/>
      </w:pPr>
      <w:r>
        <w:rPr>
          <w:rFonts w:cs="Calibri"/>
          <w:color w:val="000000"/>
          <w:lang w:val="en-US"/>
        </w:rPr>
      </w:r>
    </w:p>
    <w:p>
      <w:pPr>
        <w:pStyle w:val="style0"/>
        <w:spacing w:line="360" w:lineRule="auto"/>
        <w:jc w:val="both"/>
      </w:pPr>
      <w:r>
        <w:rPr>
          <w:rFonts w:cs="Calibri"/>
          <w:color w:val="000000"/>
          <w:lang w:val="en-US"/>
        </w:rPr>
      </w:r>
    </w:p>
    <w:p>
      <w:pPr>
        <w:pStyle w:val="style0"/>
        <w:spacing w:line="360" w:lineRule="auto"/>
        <w:jc w:val="both"/>
      </w:pPr>
      <w:r>
        <w:rPr>
          <w:rFonts w:cs="Calibri"/>
          <w:color w:val="000000"/>
          <w:lang w:val="en-US"/>
        </w:rPr>
      </w:r>
    </w:p>
    <w:p>
      <w:pPr>
        <w:pStyle w:val="style0"/>
        <w:spacing w:line="360" w:lineRule="auto"/>
        <w:jc w:val="both"/>
      </w:pPr>
      <w:r>
        <w:rPr>
          <w:rFonts w:cs="Calibri"/>
          <w:color w:val="000000"/>
          <w:lang w:val="en-US"/>
        </w:rPr>
      </w:r>
    </w:p>
    <w:p>
      <w:pPr>
        <w:pStyle w:val="style0"/>
        <w:spacing w:line="360" w:lineRule="auto"/>
        <w:jc w:val="both"/>
      </w:pPr>
      <w:r>
        <w:rPr>
          <w:rFonts w:cs="Calibri"/>
          <w:color w:val="000000"/>
          <w:lang w:val="en-US"/>
        </w:rPr>
      </w:r>
    </w:p>
    <w:p>
      <w:pPr>
        <w:pStyle w:val="style0"/>
        <w:spacing w:line="360" w:lineRule="auto"/>
        <w:jc w:val="both"/>
      </w:pPr>
      <w:r>
        <w:rPr>
          <w:rFonts w:cs="Calibri"/>
          <w:color w:val="000000"/>
          <w:lang w:val="en-US"/>
        </w:rPr>
      </w:r>
    </w:p>
    <w:p>
      <w:pPr>
        <w:pStyle w:val="style0"/>
        <w:spacing w:line="360" w:lineRule="auto"/>
        <w:jc w:val="both"/>
      </w:pPr>
      <w:r>
        <w:rPr>
          <w:rFonts w:cs="Calibri"/>
          <w:color w:val="000000"/>
          <w:lang w:val="en-US"/>
        </w:rPr>
      </w:r>
    </w:p>
    <w:p>
      <w:pPr>
        <w:pStyle w:val="style0"/>
        <w:spacing w:line="360" w:lineRule="auto"/>
        <w:jc w:val="both"/>
      </w:pPr>
      <w:r>
        <w:rPr>
          <w:rFonts w:cs="Calibri"/>
          <w:color w:val="000000"/>
          <w:lang w:val="en-US"/>
        </w:rPr>
      </w:r>
    </w:p>
    <w:p>
      <w:pPr>
        <w:pStyle w:val="style0"/>
        <w:spacing w:line="360" w:lineRule="auto"/>
        <w:jc w:val="both"/>
      </w:pPr>
      <w:r>
        <w:rPr>
          <w:rFonts w:cs="Calibri"/>
          <w:color w:val="000000"/>
          <w:lang w:val="en-US"/>
        </w:rPr>
      </w:r>
    </w:p>
    <w:p>
      <w:pPr>
        <w:pStyle w:val="style0"/>
        <w:spacing w:line="360" w:lineRule="auto"/>
        <w:jc w:val="both"/>
      </w:pPr>
      <w:r>
        <w:rPr>
          <w:rFonts w:cs="Calibri"/>
          <w:color w:val="000000"/>
          <w:lang w:val="en-US"/>
        </w:rPr>
      </w:r>
    </w:p>
    <w:p>
      <w:pPr>
        <w:pStyle w:val="style0"/>
        <w:spacing w:line="360" w:lineRule="auto"/>
        <w:jc w:val="both"/>
      </w:pPr>
      <w:r>
        <w:rPr>
          <w:rFonts w:cs="Calibri"/>
          <w:color w:val="000000"/>
          <w:lang w:val="en-US"/>
        </w:rPr>
      </w:r>
    </w:p>
    <w:p>
      <w:pPr>
        <w:pStyle w:val="style0"/>
        <w:spacing w:line="360" w:lineRule="auto"/>
        <w:jc w:val="both"/>
      </w:pPr>
      <w:r>
        <w:rPr>
          <w:rFonts w:cs="Calibri"/>
          <w:color w:val="000000"/>
          <w:lang w:val="en-US"/>
        </w:rPr>
      </w:r>
    </w:p>
    <w:p>
      <w:pPr>
        <w:pStyle w:val="style0"/>
        <w:spacing w:line="360" w:lineRule="auto"/>
        <w:jc w:val="both"/>
      </w:pPr>
      <w:r>
        <w:rPr>
          <w:rFonts w:cs="Calibri"/>
          <w:color w:val="000000"/>
          <w:lang w:val="en-US"/>
        </w:rPr>
      </w:r>
    </w:p>
    <w:p>
      <w:pPr>
        <w:pStyle w:val="style0"/>
        <w:spacing w:line="360" w:lineRule="auto"/>
        <w:jc w:val="both"/>
      </w:pPr>
      <w:r>
        <w:rPr>
          <w:rFonts w:cs="Calibri"/>
          <w:color w:val="000000"/>
          <w:lang w:val="en-US"/>
        </w:rPr>
      </w:r>
    </w:p>
    <w:p>
      <w:pPr>
        <w:pStyle w:val="style0"/>
        <w:spacing w:line="360" w:lineRule="auto"/>
        <w:jc w:val="both"/>
      </w:pPr>
      <w:r>
        <w:rPr>
          <w:rFonts w:cs="Calibri"/>
          <w:color w:val="000000"/>
          <w:lang w:val="en-US"/>
        </w:rPr>
      </w:r>
    </w:p>
    <w:p>
      <w:pPr>
        <w:pStyle w:val="style0"/>
        <w:spacing w:line="360" w:lineRule="auto"/>
        <w:jc w:val="both"/>
      </w:pPr>
      <w:r>
        <w:rPr>
          <w:rFonts w:cs="Calibri"/>
          <w:color w:val="000000"/>
          <w:lang w:val="en-US"/>
        </w:rPr>
      </w:r>
    </w:p>
    <w:p>
      <w:pPr>
        <w:pStyle w:val="style0"/>
        <w:spacing w:line="360" w:lineRule="auto"/>
        <w:jc w:val="both"/>
      </w:pPr>
      <w:r>
        <w:rPr>
          <w:rFonts w:cs="Calibri"/>
          <w:lang w:val="en-US"/>
        </w:rPr>
        <w:t xml:space="preserve">1. Research Plan </w:t>
      </w:r>
    </w:p>
    <w:p>
      <w:pPr>
        <w:pStyle w:val="style2"/>
        <w:numPr>
          <w:ilvl w:val="1"/>
          <w:numId w:val="1"/>
        </w:numPr>
        <w:spacing w:line="360" w:lineRule="auto"/>
        <w:jc w:val="both"/>
      </w:pPr>
      <w:bookmarkStart w:id="0" w:name="__RefHeading__1161_697317409"/>
      <w:bookmarkStart w:id="1" w:name="_Toc347485505"/>
      <w:bookmarkEnd w:id="0"/>
      <w:r>
        <w:rPr>
          <w:rFonts w:cs="Calibri"/>
          <w:sz w:val="22"/>
          <w:szCs w:val="22"/>
          <w:lang w:val="en-US"/>
        </w:rPr>
        <w:t>1.1. Statement of research</w:t>
      </w:r>
      <w:bookmarkEnd w:id="1"/>
      <w:r>
        <w:rPr>
          <w:rFonts w:cs="Calibri"/>
          <w:sz w:val="22"/>
          <w:szCs w:val="22"/>
          <w:lang w:val="en-US"/>
        </w:rPr>
        <w:t xml:space="preserve">  </w:t>
      </w:r>
    </w:p>
    <w:p>
      <w:pPr>
        <w:pStyle w:val="style0"/>
        <w:spacing w:after="120" w:before="0" w:line="360" w:lineRule="auto"/>
        <w:jc w:val="both"/>
      </w:pPr>
      <w:r>
        <w:rPr>
          <w:rFonts w:cs="Calibri"/>
          <w:b/>
          <w:color w:val="000000"/>
          <w:lang w:val="en-US"/>
        </w:rPr>
        <w:t>General context</w:t>
      </w:r>
    </w:p>
    <w:p>
      <w:pPr>
        <w:pStyle w:val="style0"/>
        <w:spacing w:after="120" w:before="0" w:line="360" w:lineRule="auto"/>
        <w:jc w:val="both"/>
      </w:pPr>
      <w:r>
        <w:rPr>
          <w:rFonts w:cs="Calibri"/>
          <w:color w:val="000000"/>
          <w:lang w:val="en-US"/>
        </w:rPr>
        <w:t>Faced with potential conflict, it pays to</w:t>
      </w:r>
      <w:r>
        <w:rPr>
          <w:rFonts w:cs="Calibri" w:eastAsia="Arial Unicode MS"/>
          <w:color w:val="000000"/>
          <w:lang w:val="en-US"/>
        </w:rPr>
        <w:t xml:space="preserve"> consider </w:t>
      </w:r>
      <w:r>
        <w:rPr>
          <w:rFonts w:cs="Calibri"/>
          <w:color w:val="000000"/>
          <w:lang w:val="en-US"/>
        </w:rPr>
        <w:t xml:space="preserve">the merits of each available strategy </w:t>
      </w:r>
      <w:r>
        <w:rPr>
          <w:rFonts w:cs="Calibri" w:eastAsia="Arial Unicode MS"/>
          <w:color w:val="000000"/>
          <w:lang w:val="en-US"/>
        </w:rPr>
        <w:t>and anticipate the opponent’s likely response [</w:t>
      </w:r>
      <w:hyperlink w:anchor="_ENREF_12">
        <w:r>
          <w:rPr>
            <w:rStyle w:val="style18"/>
            <w:rFonts w:cs="Calibri" w:eastAsia="Arial Unicode MS"/>
            <w:color w:val="000000"/>
            <w:lang w:val="en-US"/>
          </w:rPr>
          <w:t>12</w:t>
        </w:r>
      </w:hyperlink>
      <w:r>
        <w:rPr>
          <w:rFonts w:cs="Calibri" w:eastAsia="Arial Unicode MS"/>
          <w:color w:val="000000"/>
          <w:lang w:val="en-US"/>
        </w:rPr>
        <w:t>,</w:t>
      </w:r>
      <w:hyperlink w:anchor="_ENREF_13">
        <w:r>
          <w:rPr>
            <w:rStyle w:val="style18"/>
            <w:rFonts w:cs="Calibri" w:eastAsia="Arial Unicode MS"/>
            <w:color w:val="000000"/>
            <w:lang w:val="en-US"/>
          </w:rPr>
          <w:t>13</w:t>
        </w:r>
      </w:hyperlink>
      <w:r>
        <w:rPr>
          <w:rFonts w:cs="Calibri" w:eastAsia="Arial Unicode MS"/>
          <w:color w:val="000000"/>
          <w:lang w:val="en-US"/>
        </w:rPr>
        <w:t>]. In contrast, a</w:t>
      </w:r>
      <w:r>
        <w:rPr>
          <w:rFonts w:cs="Calibri"/>
          <w:color w:val="000000"/>
          <w:lang w:val="en-US"/>
        </w:rPr>
        <w:t>nimal conflicts are partly governed by hardwired defensive tactics: behavioral stress responses (BSRs), including fight, flight and freeze [</w:t>
      </w:r>
      <w:hyperlink w:anchor="_ENREF_6">
        <w:r>
          <w:rPr>
            <w:rStyle w:val="style18"/>
            <w:rFonts w:cs="Calibri"/>
            <w:color w:val="000000"/>
            <w:lang w:val="en-US"/>
          </w:rPr>
          <w:t>6</w:t>
        </w:r>
      </w:hyperlink>
      <w:r>
        <w:rPr>
          <w:rFonts w:cs="Calibri"/>
          <w:color w:val="000000"/>
          <w:lang w:val="en-US"/>
        </w:rPr>
        <w:t>,</w:t>
      </w:r>
      <w:hyperlink w:anchor="_ENREF_7">
        <w:r>
          <w:rPr>
            <w:rStyle w:val="style18"/>
            <w:rFonts w:cs="Calibri"/>
            <w:color w:val="000000"/>
            <w:lang w:val="en-US"/>
          </w:rPr>
          <w:t>7</w:t>
        </w:r>
      </w:hyperlink>
      <w:r>
        <w:rPr>
          <w:rFonts w:cs="Calibri"/>
          <w:color w:val="000000"/>
          <w:lang w:val="en-US"/>
        </w:rPr>
        <w:t>,</w:t>
      </w:r>
      <w:hyperlink w:anchor="_ENREF_14">
        <w:r>
          <w:rPr>
            <w:rStyle w:val="style18"/>
            <w:rFonts w:cs="Calibri"/>
            <w:color w:val="000000"/>
            <w:lang w:val="en-US"/>
          </w:rPr>
          <w:t>14</w:t>
        </w:r>
      </w:hyperlink>
      <w:r>
        <w:rPr>
          <w:rFonts w:cs="Calibri"/>
          <w:color w:val="000000"/>
          <w:lang w:val="en-US"/>
        </w:rPr>
        <w:t>,</w:t>
      </w:r>
      <w:hyperlink w:anchor="_ENREF_15">
        <w:r>
          <w:rPr>
            <w:rStyle w:val="style18"/>
            <w:rFonts w:cs="Calibri"/>
            <w:color w:val="000000"/>
            <w:lang w:val="en-US"/>
          </w:rPr>
          <w:t>15</w:t>
        </w:r>
      </w:hyperlink>
      <w:r>
        <w:rPr>
          <w:rFonts w:cs="Calibri"/>
          <w:color w:val="000000"/>
          <w:lang w:val="en-US"/>
        </w:rPr>
        <w:t>,</w:t>
      </w:r>
      <w:hyperlink w:anchor="_ENREF_16">
        <w:r>
          <w:rPr>
            <w:rStyle w:val="style18"/>
            <w:rFonts w:cs="Calibri"/>
            <w:color w:val="000000"/>
            <w:lang w:val="en-US"/>
          </w:rPr>
          <w:t>16</w:t>
        </w:r>
      </w:hyperlink>
      <w:r>
        <w:rPr>
          <w:rFonts w:cs="Calibri"/>
          <w:color w:val="000000"/>
          <w:lang w:val="en-US"/>
        </w:rPr>
        <w:t>,</w:t>
      </w:r>
      <w:hyperlink w:anchor="_ENREF_17">
        <w:r>
          <w:rPr>
            <w:rStyle w:val="style18"/>
            <w:rFonts w:cs="Calibri"/>
            <w:color w:val="000000"/>
            <w:lang w:val="en-US"/>
          </w:rPr>
          <w:t>17</w:t>
        </w:r>
      </w:hyperlink>
      <w:r>
        <w:rPr>
          <w:rFonts w:cs="Calibri"/>
          <w:color w:val="000000"/>
          <w:lang w:val="en-US"/>
        </w:rPr>
        <w:t>,</w:t>
      </w:r>
      <w:hyperlink w:anchor="_ENREF_18">
        <w:r>
          <w:rPr>
            <w:rStyle w:val="style18"/>
            <w:rFonts w:cs="Calibri"/>
            <w:color w:val="000000"/>
            <w:lang w:val="en-US"/>
          </w:rPr>
          <w:t>18</w:t>
        </w:r>
      </w:hyperlink>
      <w:r>
        <w:rPr>
          <w:rFonts w:cs="Calibri"/>
          <w:color w:val="000000"/>
          <w:lang w:val="en-US"/>
        </w:rPr>
        <w:t>,</w:t>
      </w:r>
      <w:hyperlink w:anchor="_ENREF_19">
        <w:r>
          <w:rPr>
            <w:rStyle w:val="style18"/>
            <w:rFonts w:cs="Calibri"/>
            <w:color w:val="000000"/>
            <w:lang w:val="en-US"/>
          </w:rPr>
          <w:t>19</w:t>
        </w:r>
      </w:hyperlink>
      <w:r>
        <w:rPr>
          <w:rFonts w:cs="Calibri"/>
          <w:color w:val="000000"/>
          <w:lang w:val="en-US"/>
        </w:rPr>
        <w:t>,</w:t>
      </w:r>
      <w:hyperlink w:anchor="_ENREF_20">
        <w:r>
          <w:rPr>
            <w:rStyle w:val="style18"/>
            <w:rFonts w:cs="Calibri"/>
            <w:color w:val="000000"/>
            <w:lang w:val="en-US"/>
          </w:rPr>
          <w:t>20</w:t>
        </w:r>
      </w:hyperlink>
      <w:r>
        <w:rPr>
          <w:rFonts w:cs="Calibri"/>
          <w:color w:val="000000"/>
          <w:lang w:val="en-US"/>
        </w:rPr>
        <w:t>,</w:t>
      </w:r>
      <w:hyperlink w:anchor="_ENREF_21">
        <w:r>
          <w:rPr>
            <w:rStyle w:val="style18"/>
            <w:rFonts w:cs="Calibri"/>
            <w:color w:val="000000"/>
            <w:lang w:val="en-US"/>
          </w:rPr>
          <w:t>21</w:t>
        </w:r>
      </w:hyperlink>
      <w:r>
        <w:rPr>
          <w:rFonts w:cs="Calibri"/>
          <w:color w:val="000000"/>
          <w:lang w:val="en-US"/>
        </w:rPr>
        <w:t>,</w:t>
      </w:r>
      <w:hyperlink w:anchor="_ENREF_22">
        <w:r>
          <w:rPr>
            <w:rStyle w:val="style18"/>
            <w:rFonts w:cs="Calibri"/>
            <w:color w:val="000000"/>
            <w:lang w:val="en-US"/>
          </w:rPr>
          <w:t>22</w:t>
        </w:r>
      </w:hyperlink>
      <w:r>
        <w:rPr>
          <w:rFonts w:cs="Calibri"/>
          <w:color w:val="000000"/>
          <w:lang w:val="en-US"/>
        </w:rPr>
        <w:t>,</w:t>
      </w:r>
      <w:hyperlink w:anchor="_ENREF_23">
        <w:r>
          <w:rPr>
            <w:rStyle w:val="style18"/>
            <w:rFonts w:cs="Calibri"/>
            <w:color w:val="000000"/>
            <w:lang w:val="en-US"/>
          </w:rPr>
          <w:t>23</w:t>
        </w:r>
      </w:hyperlink>
      <w:r>
        <w:rPr>
          <w:rFonts w:cs="Calibri"/>
          <w:color w:val="000000"/>
          <w:lang w:val="en-US"/>
        </w:rPr>
        <w:t>]. While t</w:t>
      </w:r>
      <w:r>
        <w:rPr>
          <w:rFonts w:cs="Calibri" w:eastAsia="Arial Unicode MS"/>
          <w:color w:val="000000"/>
          <w:lang w:val="en-US"/>
        </w:rPr>
        <w:t>hese ‘Pavlovian’ responses were selected by evolution, their reflexive character opens them to exploitation by real [</w:t>
      </w:r>
      <w:hyperlink w:anchor="_ENREF_24">
        <w:r>
          <w:rPr>
            <w:rStyle w:val="style18"/>
            <w:rFonts w:cs="Calibri" w:eastAsia="Arial Unicode MS"/>
            <w:color w:val="000000"/>
            <w:lang w:val="en-US"/>
          </w:rPr>
          <w:t>24</w:t>
        </w:r>
      </w:hyperlink>
      <w:r>
        <w:rPr>
          <w:rFonts w:cs="Calibri" w:eastAsia="Arial Unicode MS"/>
          <w:color w:val="000000"/>
          <w:lang w:val="en-US"/>
        </w:rPr>
        <w:t>] and artificial [</w:t>
      </w:r>
      <w:hyperlink w:anchor="_ENREF_25">
        <w:r>
          <w:rPr>
            <w:rStyle w:val="style18"/>
            <w:rFonts w:cs="Calibri" w:eastAsia="Arial Unicode MS"/>
            <w:color w:val="000000"/>
            <w:lang w:val="en-US"/>
          </w:rPr>
          <w:t>25</w:t>
        </w:r>
      </w:hyperlink>
      <w:r>
        <w:rPr>
          <w:rFonts w:cs="Calibri" w:eastAsia="Arial Unicode MS"/>
          <w:color w:val="000000"/>
          <w:lang w:val="en-US"/>
        </w:rPr>
        <w:t>,</w:t>
      </w:r>
      <w:hyperlink w:anchor="_ENREF_26">
        <w:r>
          <w:rPr>
            <w:rStyle w:val="style18"/>
            <w:rFonts w:cs="Calibri" w:eastAsia="Arial Unicode MS"/>
            <w:color w:val="000000"/>
            <w:lang w:val="en-US"/>
          </w:rPr>
          <w:t>26</w:t>
        </w:r>
      </w:hyperlink>
      <w:r>
        <w:rPr>
          <w:rFonts w:cs="Calibri" w:eastAsia="Arial Unicode MS"/>
          <w:color w:val="000000"/>
          <w:lang w:val="en-US"/>
        </w:rPr>
        <w:t>] threats, a phenomena examined in theory [</w:t>
      </w:r>
      <w:hyperlink w:anchor="_ENREF_27">
        <w:r>
          <w:rPr>
            <w:rStyle w:val="style18"/>
            <w:rFonts w:cs="Calibri" w:eastAsia="Arial Unicode MS"/>
            <w:color w:val="000000"/>
            <w:lang w:val="en-US"/>
          </w:rPr>
          <w:t>27</w:t>
        </w:r>
      </w:hyperlink>
      <w:r>
        <w:rPr>
          <w:rFonts w:cs="Calibri" w:eastAsia="Arial Unicode MS"/>
          <w:color w:val="000000"/>
          <w:lang w:val="en-US"/>
        </w:rPr>
        <w:t>], ethology [</w:t>
      </w:r>
      <w:hyperlink w:anchor="_ENREF_28">
        <w:r>
          <w:rPr>
            <w:rStyle w:val="style18"/>
            <w:rFonts w:cs="Calibri" w:eastAsia="Arial Unicode MS"/>
            <w:color w:val="000000"/>
            <w:lang w:val="en-US"/>
          </w:rPr>
          <w:t>28</w:t>
        </w:r>
      </w:hyperlink>
      <w:r>
        <w:rPr>
          <w:rFonts w:cs="Calibri" w:eastAsia="Arial Unicode MS"/>
          <w:color w:val="000000"/>
          <w:lang w:val="en-US"/>
        </w:rPr>
        <w:t>] and experiment [</w:t>
      </w:r>
      <w:hyperlink w:anchor="_ENREF_29">
        <w:r>
          <w:rPr>
            <w:rStyle w:val="style18"/>
            <w:rFonts w:cs="Calibri" w:eastAsia="Arial Unicode MS"/>
            <w:color w:val="000000"/>
            <w:lang w:val="en-US"/>
          </w:rPr>
          <w:t>29</w:t>
        </w:r>
      </w:hyperlink>
      <w:r>
        <w:rPr>
          <w:rFonts w:cs="Calibri" w:eastAsia="Arial Unicode MS"/>
          <w:color w:val="000000"/>
          <w:lang w:val="en-US"/>
        </w:rPr>
        <w:t>].</w:t>
      </w:r>
    </w:p>
    <w:p>
      <w:pPr>
        <w:pStyle w:val="style0"/>
        <w:spacing w:after="120" w:before="0" w:line="360" w:lineRule="auto"/>
        <w:jc w:val="both"/>
      </w:pPr>
      <w:r>
        <w:rPr>
          <w:rFonts w:cs="Calibri" w:eastAsia="Arial Unicode MS"/>
          <w:color w:val="000000"/>
          <w:lang w:val="en-US"/>
        </w:rPr>
        <w:t>There is speculation that BSRs also affect the outcome of human conflict</w:t>
      </w:r>
      <w:r>
        <w:rPr>
          <w:rFonts w:cs="Calibri"/>
          <w:color w:val="000000"/>
          <w:lang w:val="en-US"/>
        </w:rPr>
        <w:t>, particularly via vulnerable individuals [</w:t>
      </w:r>
      <w:hyperlink w:anchor="_ENREF_4">
        <w:r>
          <w:rPr>
            <w:rStyle w:val="style18"/>
            <w:rFonts w:cs="Calibri"/>
            <w:color w:val="000000"/>
            <w:lang w:val="en-US"/>
          </w:rPr>
          <w:t>4</w:t>
        </w:r>
      </w:hyperlink>
      <w:r>
        <w:rPr>
          <w:rFonts w:cs="Calibri"/>
          <w:color w:val="000000"/>
          <w:lang w:val="en-US"/>
        </w:rPr>
        <w:t>,</w:t>
      </w:r>
      <w:hyperlink w:anchor="_ENREF_5">
        <w:r>
          <w:rPr>
            <w:rStyle w:val="style18"/>
            <w:rFonts w:cs="Calibri"/>
            <w:color w:val="000000"/>
            <w:lang w:val="en-US"/>
          </w:rPr>
          <w:t>5</w:t>
        </w:r>
      </w:hyperlink>
      <w:r>
        <w:rPr>
          <w:rFonts w:cs="Calibri"/>
          <w:color w:val="000000"/>
          <w:lang w:val="en-US"/>
        </w:rPr>
        <w:t>,</w:t>
      </w:r>
      <w:hyperlink w:anchor="_ENREF_6">
        <w:r>
          <w:rPr>
            <w:rStyle w:val="style18"/>
            <w:rFonts w:cs="Calibri"/>
            <w:color w:val="000000"/>
            <w:lang w:val="en-US"/>
          </w:rPr>
          <w:t>6</w:t>
        </w:r>
      </w:hyperlink>
      <w:r>
        <w:rPr>
          <w:rFonts w:cs="Calibri"/>
          <w:color w:val="000000"/>
          <w:lang w:val="en-US"/>
        </w:rPr>
        <w:t>,</w:t>
      </w:r>
      <w:hyperlink w:anchor="_ENREF_7">
        <w:r>
          <w:rPr>
            <w:rStyle w:val="style18"/>
            <w:rFonts w:cs="Calibri"/>
            <w:color w:val="000000"/>
            <w:lang w:val="en-US"/>
          </w:rPr>
          <w:t>7</w:t>
        </w:r>
      </w:hyperlink>
      <w:r>
        <w:rPr>
          <w:rFonts w:cs="Calibri"/>
          <w:color w:val="000000"/>
          <w:lang w:val="en-US"/>
        </w:rPr>
        <w:t>,</w:t>
      </w:r>
      <w:hyperlink w:anchor="_ENREF_8">
        <w:r>
          <w:rPr>
            <w:rStyle w:val="style18"/>
            <w:rFonts w:cs="Calibri"/>
            <w:color w:val="000000"/>
            <w:lang w:val="en-US"/>
          </w:rPr>
          <w:t>8</w:t>
        </w:r>
      </w:hyperlink>
      <w:r>
        <w:rPr>
          <w:rFonts w:cs="Calibri"/>
          <w:color w:val="000000"/>
          <w:lang w:val="en-US"/>
        </w:rPr>
        <w:t xml:space="preserve">]. We will ask whether stressors influence the outcome of strategic conflict by triggering BSRs. Our hypotheses are derived from animal work showing that </w:t>
      </w:r>
      <w:r>
        <w:rPr>
          <w:rFonts w:cs="Calibri"/>
          <w:i/>
          <w:color w:val="000000"/>
          <w:lang w:val="en-US"/>
        </w:rPr>
        <w:t>threat proximity</w:t>
      </w:r>
      <w:r>
        <w:rPr>
          <w:rFonts w:cs="Calibri"/>
          <w:color w:val="000000"/>
          <w:lang w:val="en-US"/>
        </w:rPr>
        <w:t xml:space="preserve"> – ones distance from the opponent – tips the balance between the </w:t>
      </w:r>
      <w:r>
        <w:rPr>
          <w:rFonts w:cs="Calibri"/>
          <w:b/>
          <w:color w:val="000000"/>
          <w:lang w:val="en-US"/>
        </w:rPr>
        <w:t xml:space="preserve">freeze </w:t>
      </w:r>
      <w:r>
        <w:rPr>
          <w:rFonts w:cs="Calibri"/>
          <w:color w:val="000000"/>
          <w:lang w:val="en-US"/>
        </w:rPr>
        <w:t xml:space="preserve">and </w:t>
      </w:r>
      <w:r>
        <w:rPr>
          <w:rFonts w:cs="Calibri"/>
          <w:b/>
          <w:color w:val="000000"/>
          <w:lang w:val="en-US"/>
        </w:rPr>
        <w:t>flight</w:t>
      </w:r>
      <w:r>
        <w:rPr/>
        <w:t xml:space="preserve"> responses</w:t>
      </w:r>
      <w:r>
        <w:rPr>
          <w:rFonts w:cs="Calibri"/>
          <w:color w:val="000000"/>
          <w:lang w:val="en-US"/>
        </w:rPr>
        <w:t xml:space="preserve">. Specifically, </w:t>
      </w:r>
      <w:r>
        <w:rPr>
          <w:rFonts w:cs="Calibri"/>
          <w:i/>
          <w:lang w:val="en-US"/>
        </w:rPr>
        <w:t>close threats trigger flight</w:t>
      </w:r>
      <w:r>
        <w:rPr>
          <w:rFonts w:cs="Calibri"/>
          <w:lang w:val="en-US"/>
        </w:rPr>
        <w:t xml:space="preserve">, while </w:t>
      </w:r>
      <w:r>
        <w:rPr>
          <w:rFonts w:cs="Calibri"/>
          <w:i/>
          <w:lang w:val="en-US"/>
        </w:rPr>
        <w:t xml:space="preserve">distant threats trigger </w:t>
      </w:r>
      <w:r>
        <w:rPr>
          <w:rFonts w:cs="Calibri"/>
          <w:i/>
          <w:color w:val="000000"/>
          <w:lang w:val="en-US"/>
        </w:rPr>
        <w:t>freezing</w:t>
      </w:r>
      <w:r>
        <w:rPr>
          <w:rFonts w:cs="Calibri"/>
          <w:lang w:val="en-US"/>
        </w:rPr>
        <w:t xml:space="preserve"> [</w:t>
      </w:r>
      <w:hyperlink w:anchor="_ENREF_30">
        <w:r>
          <w:rPr>
            <w:rStyle w:val="style18"/>
            <w:rFonts w:cs="Calibri"/>
            <w:lang w:val="en-US"/>
          </w:rPr>
          <w:t>30</w:t>
        </w:r>
      </w:hyperlink>
      <w:r>
        <w:rPr>
          <w:rFonts w:cs="Calibri"/>
          <w:lang w:val="en-US"/>
        </w:rPr>
        <w:t>]. We look for evidence that this evolutionary bias can systematically derail a person’s defensive strategy.</w:t>
      </w:r>
    </w:p>
    <w:p>
      <w:pPr>
        <w:pStyle w:val="style0"/>
        <w:spacing w:after="0" w:before="0" w:line="360" w:lineRule="auto"/>
        <w:jc w:val="both"/>
      </w:pPr>
      <w:r>
        <w:rPr>
          <w:rFonts w:cs="Calibri"/>
          <w:b/>
          <w:color w:val="000000"/>
          <w:lang w:val="en-US"/>
        </w:rPr>
        <w:t xml:space="preserve">Specific aims  </w:t>
        <w:tab/>
      </w:r>
    </w:p>
    <w:p>
      <w:pPr>
        <w:pStyle w:val="style0"/>
        <w:spacing w:after="0" w:before="0" w:line="360" w:lineRule="auto"/>
        <w:jc w:val="both"/>
      </w:pPr>
      <w:r>
        <w:rPr>
          <w:rFonts w:cs="Calibri"/>
          <w:b/>
          <w:color w:val="000000"/>
          <w:lang w:val="en-US"/>
        </w:rPr>
      </w:r>
    </w:p>
    <w:p>
      <w:pPr>
        <w:pStyle w:val="style39"/>
        <w:numPr>
          <w:ilvl w:val="0"/>
          <w:numId w:val="3"/>
        </w:numPr>
        <w:spacing w:after="120" w:before="0" w:line="360" w:lineRule="auto"/>
        <w:jc w:val="both"/>
      </w:pPr>
      <w:r>
        <w:rPr>
          <w:rFonts w:cs="Calibri" w:eastAsia="Arial Unicode MS"/>
          <w:color w:val="000000"/>
          <w:lang w:val="en-US"/>
        </w:rPr>
        <w:t>Do defensive compulsions to flee and freeze impact human conflict?</w:t>
      </w:r>
    </w:p>
    <w:p>
      <w:pPr>
        <w:pStyle w:val="style39"/>
        <w:numPr>
          <w:ilvl w:val="0"/>
          <w:numId w:val="3"/>
        </w:numPr>
        <w:spacing w:after="120" w:before="0" w:line="360" w:lineRule="auto"/>
        <w:jc w:val="both"/>
      </w:pPr>
      <w:r>
        <w:rPr>
          <w:rFonts w:cs="Calibri" w:eastAsia="Arial Unicode MS"/>
          <w:color w:val="000000"/>
          <w:lang w:val="en-US"/>
        </w:rPr>
        <w:t>Is this tendency higher among defensive personalities?</w:t>
      </w:r>
    </w:p>
    <w:p>
      <w:pPr>
        <w:pStyle w:val="style39"/>
        <w:numPr>
          <w:ilvl w:val="0"/>
          <w:numId w:val="3"/>
        </w:numPr>
        <w:spacing w:after="120" w:before="0" w:line="360" w:lineRule="auto"/>
        <w:jc w:val="both"/>
      </w:pPr>
      <w:r>
        <w:rPr>
          <w:rFonts w:cs="Calibri" w:eastAsia="Arial Unicode MS"/>
          <w:color w:val="000000"/>
          <w:lang w:val="en-US"/>
        </w:rPr>
        <w:t>Do midbrain networks implementing BSRs mediate this variation [</w:t>
      </w:r>
      <w:hyperlink w:anchor="_ENREF_1">
        <w:r>
          <w:rPr>
            <w:rStyle w:val="style18"/>
            <w:rFonts w:cs="Calibri" w:eastAsia="Arial Unicode MS"/>
            <w:color w:val="000000"/>
            <w:lang w:val="en-US"/>
          </w:rPr>
          <w:t>1</w:t>
        </w:r>
      </w:hyperlink>
      <w:r>
        <w:rPr>
          <w:rFonts w:cs="Calibri" w:eastAsia="Arial Unicode MS"/>
          <w:color w:val="000000"/>
          <w:lang w:val="en-US"/>
        </w:rPr>
        <w:t>,</w:t>
      </w:r>
      <w:hyperlink w:anchor="_ENREF_31">
        <w:r>
          <w:rPr>
            <w:rStyle w:val="style18"/>
            <w:rFonts w:cs="Calibri" w:eastAsia="Arial Unicode MS"/>
            <w:color w:val="000000"/>
            <w:lang w:val="en-US"/>
          </w:rPr>
          <w:t>31</w:t>
        </w:r>
      </w:hyperlink>
      <w:r>
        <w:rPr>
          <w:rFonts w:cs="Calibri" w:eastAsia="Arial Unicode MS"/>
          <w:color w:val="000000"/>
          <w:lang w:val="en-US"/>
        </w:rPr>
        <w:t>]?</w:t>
      </w:r>
    </w:p>
    <w:p>
      <w:pPr>
        <w:pStyle w:val="style0"/>
        <w:spacing w:after="0" w:before="0" w:line="360" w:lineRule="auto"/>
        <w:jc w:val="both"/>
      </w:pPr>
      <w:r>
        <w:rPr>
          <w:rFonts w:cs="Calibri"/>
          <w:b/>
          <w:color w:val="000000"/>
          <w:lang w:val="en-US"/>
        </w:rPr>
      </w:r>
    </w:p>
    <w:p>
      <w:pPr>
        <w:pStyle w:val="style0"/>
        <w:spacing w:after="0" w:before="0" w:line="360" w:lineRule="auto"/>
        <w:jc w:val="both"/>
      </w:pPr>
      <w:r>
        <w:rPr>
          <w:rFonts w:cs="Calibri"/>
          <w:b/>
          <w:color w:val="000000"/>
          <w:lang w:val="en-US"/>
        </w:rPr>
        <w:t xml:space="preserve">The experiments which will achieve these specific aims </w:t>
      </w:r>
    </w:p>
    <w:p>
      <w:pPr>
        <w:pStyle w:val="style0"/>
        <w:spacing w:after="0" w:before="0" w:line="360" w:lineRule="auto"/>
        <w:jc w:val="both"/>
      </w:pPr>
      <w:r>
        <w:rPr>
          <w:rFonts w:cs="Calibri"/>
          <w:b/>
          <w:color w:val="000000"/>
          <w:lang w:val="en-US"/>
        </w:rPr>
      </w:r>
    </w:p>
    <w:p>
      <w:pPr>
        <w:pStyle w:val="style0"/>
        <w:spacing w:after="0" w:before="0" w:line="360" w:lineRule="auto"/>
        <w:jc w:val="both"/>
      </w:pPr>
      <w:r>
        <w:rPr>
          <w:rFonts w:cs="Calibri"/>
          <w:color w:val="000000"/>
          <w:lang w:val="en-US"/>
        </w:rPr>
        <w:t>We will conduct two experiments using a novel, interactive GO-NOGO paradigm: One behavioral and one fMRI study. We have already completed initial pilots to confirm the feasibility of these experiments.</w:t>
      </w:r>
    </w:p>
    <w:p>
      <w:pPr>
        <w:pStyle w:val="style3"/>
        <w:numPr>
          <w:ilvl w:val="2"/>
          <w:numId w:val="1"/>
        </w:numPr>
        <w:spacing w:line="360" w:lineRule="auto"/>
        <w:jc w:val="both"/>
      </w:pPr>
      <w:bookmarkStart w:id="2" w:name="__RefHeading__1163_697317409"/>
      <w:bookmarkStart w:id="3" w:name="_Toc347325606"/>
      <w:bookmarkStart w:id="4" w:name="_Toc347485508"/>
      <w:bookmarkEnd w:id="2"/>
      <w:bookmarkEnd w:id="3"/>
      <w:bookmarkEnd w:id="4"/>
      <w:r>
        <w:rPr>
          <w:rFonts w:cs="Calibri"/>
          <w:lang w:val="en-US"/>
        </w:rPr>
        <w:t>Defensive behavioral inhibition</w:t>
      </w:r>
    </w:p>
    <w:p>
      <w:pPr>
        <w:pStyle w:val="style0"/>
      </w:pPr>
      <w:r>
        <w:rPr>
          <w:lang w:val="en-US"/>
        </w:rPr>
      </w:r>
    </w:p>
    <w:p>
      <w:pPr>
        <w:pStyle w:val="style0"/>
        <w:spacing w:after="0" w:before="0" w:line="360" w:lineRule="auto"/>
        <w:jc w:val="both"/>
      </w:pPr>
      <w:r>
        <w:rPr>
          <w:rFonts w:cs="Calibri"/>
          <w:b/>
          <w:color w:val="000000"/>
          <w:lang w:val="en-US"/>
        </w:rPr>
        <w:t>STUDY 1:</w:t>
      </w:r>
      <w:r>
        <w:rPr>
          <w:rFonts w:cs="Calibri"/>
          <w:color w:val="000000"/>
          <w:lang w:val="en-US"/>
        </w:rPr>
        <w:t xml:space="preserve">  In this pilot we examined whether subjects systematically changed their defensive strategy according to their opponent’s proximity, even though  this strategy was counterproductive. </w:t>
      </w:r>
      <w:r>
        <w:rPr>
          <w:lang w:val="en-US"/>
        </w:rPr>
        <w:t xml:space="preserve">In our game of ‘catch’ PREDATOR must catch PREY, who must avoid PREDATOR </w:t>
      </w:r>
      <w:r>
        <w:rPr>
          <w:rFonts w:cs="Calibri"/>
          <w:color w:val="000000"/>
          <w:lang w:val="en-US"/>
        </w:rPr>
        <w:t>(See Figure 1)</w:t>
      </w:r>
      <w:r>
        <w:rPr>
          <w:lang w:val="en-US"/>
        </w:rPr>
        <w:t xml:space="preserve">. Players stand in one of two rooms and simultaneously choose whether to stay or move (see Figure 1). Because predictability can be exploited by ones opponent, the Nash equilibrium strategy is for each player is to act randomly, i.e. move with probability ½, regardless of threat proximity. In contrast, we hypothesize that threat proximity would bias behavior toward the BSR: freezing to distal opponents and fleeing proximal ones. </w:t>
      </w:r>
    </w:p>
    <w:p>
      <w:pPr>
        <w:pStyle w:val="style0"/>
        <w:spacing w:after="0" w:before="0" w:line="360" w:lineRule="auto"/>
        <w:jc w:val="both"/>
      </w:pPr>
      <w:r>
        <w:rPr>
          <w:lang w:val="en-US"/>
        </w:rPr>
      </w:r>
    </w:p>
    <w:p>
      <w:pPr>
        <w:pStyle w:val="style0"/>
        <w:spacing w:after="0" w:before="0" w:line="360" w:lineRule="auto"/>
        <w:jc w:val="both"/>
      </w:pPr>
      <w:r>
        <w:rPr>
          <w:lang w:val="en-US"/>
        </w:rPr>
        <w:t xml:space="preserve">Animals also show non-defensive, or appetitive, Pavlovian responses. For example, expected reward tends to </w:t>
      </w:r>
      <w:r>
        <w:rPr>
          <w:i/>
          <w:lang w:val="en-US"/>
        </w:rPr>
        <w:t xml:space="preserve">activate </w:t>
      </w:r>
      <w:r>
        <w:rPr>
          <w:lang w:val="en-US"/>
        </w:rPr>
        <w:t>behavior. We therefore also hypothesized biased predator behavior. In the context of Figure 1C for example, these two biases should combine to make PREY freeze and succumb to an active PREDATOR. Our results point to such a bias from Nash Equilibrium towards a ‘Pavlovian equilibrium’ at (NO GO, GO). Figure 1 displays results from 27 pairs and shows highly significant bias towards costly freezing which cannot be explained by various alternative hypotheses (see Figure 1 legend for a brief summary). This suggests that behavioral biases observed in animals can predict the outcome of human conflict beyond game theory. We will replicate this study and consider control studies to exclude alternative explanations.</w:t>
      </w:r>
    </w:p>
    <w:p>
      <w:pPr>
        <w:pStyle w:val="style0"/>
        <w:spacing w:after="0" w:before="0" w:line="360" w:lineRule="auto"/>
        <w:jc w:val="both"/>
      </w:pPr>
      <w:r>
        <w:rPr>
          <w:rFonts w:cs="Calibri"/>
          <w:color w:val="000000"/>
          <w:lang w:val="en-US"/>
        </w:rPr>
      </w:r>
    </w:p>
    <w:p>
      <w:pPr>
        <w:pStyle w:val="style0"/>
        <w:spacing w:after="0" w:before="0" w:line="360" w:lineRule="auto"/>
        <w:jc w:val="both"/>
      </w:pPr>
      <w:r>
        <w:rPr>
          <w:rFonts w:cs="Calibri"/>
          <w:b/>
          <w:color w:val="000000"/>
          <w:lang w:val="en-US"/>
        </w:rPr>
        <w:t>STUDY 2:</w:t>
      </w:r>
      <w:r>
        <w:rPr>
          <w:rFonts w:cs="Calibri"/>
          <w:color w:val="000000"/>
          <w:lang w:val="en-US"/>
        </w:rPr>
        <w:t xml:space="preserve"> We will extend this task by measuring concurrent neuronal responses in the fMRI. This permits us to relate our social task to large neuroscience literatures on active versus passive avoidance and behavioral activation and inhibition. We will then attempt to predict individual behavior from fMRI indices and personality measures of defensive affect [</w:t>
      </w:r>
      <w:hyperlink w:anchor="_ENREF_30">
        <w:r>
          <w:rPr>
            <w:rStyle w:val="style18"/>
            <w:rFonts w:cs="Calibri"/>
            <w:color w:val="000000"/>
            <w:lang w:val="en-US"/>
          </w:rPr>
          <w:t>30</w:t>
        </w:r>
      </w:hyperlink>
      <w:r>
        <w:rPr>
          <w:rFonts w:cs="Calibri"/>
          <w:color w:val="000000"/>
          <w:lang w:val="en-US"/>
        </w:rPr>
        <w:t xml:space="preserve">]. We hypothesize that subcortical BOLD responses to threat predict the impact of errant BSRs. </w:t>
      </w:r>
    </w:p>
    <w:p>
      <w:pPr>
        <w:pStyle w:val="style0"/>
        <w:spacing w:after="0" w:before="0" w:line="360" w:lineRule="auto"/>
        <w:jc w:val="both"/>
      </w:pPr>
      <w:r>
        <w:rPr>
          <w:rFonts w:cs="Calibri"/>
          <w:color w:val="000000"/>
          <w:lang w:val="en-US"/>
        </w:rPr>
      </w:r>
    </w:p>
    <w:p>
      <w:pPr>
        <w:pStyle w:val="style0"/>
        <w:spacing w:after="0" w:before="0" w:line="360" w:lineRule="auto"/>
        <w:jc w:val="both"/>
      </w:pPr>
      <w:r>
        <w:rPr>
          <w:rFonts w:cs="Calibri"/>
          <w:color w:val="000000"/>
          <w:lang w:val="en-US"/>
        </w:rPr>
        <w:t xml:space="preserve">These data will be used for the conventional analyses of the brain activity data. The fMRI data will be analyzed using statistical parametric mapping (SPM). Regions of </w:t>
      </w:r>
      <w:r>
        <w:rPr>
          <w:rFonts w:cs="Calibri"/>
          <w:iCs/>
          <w:color w:val="000000"/>
          <w:lang w:val="en-US"/>
        </w:rPr>
        <w:t xml:space="preserve">a priori </w:t>
      </w:r>
      <w:r>
        <w:rPr>
          <w:rFonts w:cs="Calibri"/>
          <w:color w:val="000000"/>
          <w:lang w:val="en-US"/>
        </w:rPr>
        <w:t>interest include periaqueductal grey and amygdala. Further analyses will examine whether detailed quantitative models of defensive learning can explain additional fMRI and behavioral variation.</w:t>
      </w:r>
    </w:p>
    <w:p>
      <w:pPr>
        <w:pStyle w:val="style0"/>
        <w:spacing w:after="0" w:before="0" w:line="360" w:lineRule="auto"/>
        <w:jc w:val="both"/>
      </w:pPr>
      <w:r>
        <w:rPr>
          <w:rFonts w:cs="Calibri"/>
          <w:color w:val="000000"/>
          <w:lang w:val="en-US"/>
        </w:rPr>
      </w:r>
    </w:p>
    <w:p>
      <w:pPr>
        <w:pStyle w:val="style0"/>
        <w:spacing w:after="0" w:before="0" w:line="360" w:lineRule="auto"/>
        <w:jc w:val="both"/>
      </w:pPr>
      <w:r>
        <w:rPr>
          <w:rFonts w:cs="Calibri"/>
          <w:b/>
          <w:color w:val="000000"/>
          <w:lang w:val="en-US"/>
        </w:rPr>
        <w:t>Which methods are at my disposal?</w:t>
      </w:r>
    </w:p>
    <w:p>
      <w:pPr>
        <w:pStyle w:val="style0"/>
        <w:spacing w:after="0" w:before="0" w:line="360" w:lineRule="auto"/>
        <w:jc w:val="both"/>
      </w:pPr>
      <w:r>
        <w:rPr>
          <w:rFonts w:cs="Calibri"/>
          <w:b/>
          <w:color w:val="000000"/>
          <w:lang w:val="en-US"/>
        </w:rPr>
      </w:r>
    </w:p>
    <w:p>
      <w:pPr>
        <w:pStyle w:val="style39"/>
        <w:numPr>
          <w:ilvl w:val="0"/>
          <w:numId w:val="4"/>
        </w:numPr>
        <w:spacing w:after="0" w:before="0" w:line="360" w:lineRule="auto"/>
        <w:jc w:val="both"/>
      </w:pPr>
      <w:r>
        <w:rPr>
          <w:rFonts w:cs="Calibri"/>
          <w:color w:val="000000"/>
          <w:lang w:val="en-US"/>
        </w:rPr>
        <w:t>Neuroimaging technologies that are already optimized for social experiments. The Laboratory for Social and Neural Systems (SNS) is one of few in the world with these facilities.</w:t>
      </w:r>
    </w:p>
    <w:p>
      <w:pPr>
        <w:pStyle w:val="style39"/>
        <w:numPr>
          <w:ilvl w:val="0"/>
          <w:numId w:val="4"/>
        </w:numPr>
        <w:spacing w:after="0" w:before="0" w:line="360" w:lineRule="auto"/>
        <w:jc w:val="both"/>
      </w:pPr>
      <w:r>
        <w:rPr>
          <w:rFonts w:cs="Calibri"/>
          <w:color w:val="000000"/>
          <w:lang w:val="en-US"/>
        </w:rPr>
        <w:t>Periaqueductal grey and other midbrain structures implicated in defensive instincts are small and suffer from low fMRI signal-to-noise. To overcome this, I will have unique access to the host institution’s 7 Tesla MRI scanner. Such high-field MRI facilities presently exist in only a few places.</w:t>
      </w:r>
    </w:p>
    <w:p>
      <w:pPr>
        <w:pStyle w:val="style39"/>
        <w:numPr>
          <w:ilvl w:val="0"/>
          <w:numId w:val="4"/>
        </w:numPr>
        <w:spacing w:after="0" w:before="0" w:line="360" w:lineRule="auto"/>
        <w:jc w:val="both"/>
      </w:pPr>
      <w:r>
        <w:rPr>
          <w:rFonts w:cs="Calibri"/>
          <w:color w:val="000000"/>
          <w:lang w:val="en-US"/>
        </w:rPr>
        <w:t>State-of-the-art eye, fully equipped tracking laboratory with in-house expertise in visual behavior analysis.</w:t>
      </w:r>
    </w:p>
    <w:p>
      <w:pPr>
        <w:pStyle w:val="style39"/>
        <w:numPr>
          <w:ilvl w:val="0"/>
          <w:numId w:val="4"/>
        </w:numPr>
        <w:spacing w:after="0" w:before="0" w:line="360" w:lineRule="auto"/>
        <w:jc w:val="both"/>
      </w:pPr>
      <w:r>
        <w:rPr>
          <w:rFonts w:cs="Calibri"/>
          <w:color w:val="000000"/>
          <w:lang w:val="en-US"/>
        </w:rPr>
        <w:t>Cluster computing facilities for computational simulations and efficient data-analysis.</w:t>
      </w:r>
    </w:p>
    <w:p>
      <w:pPr>
        <w:pStyle w:val="style39"/>
        <w:numPr>
          <w:ilvl w:val="0"/>
          <w:numId w:val="4"/>
        </w:numPr>
        <w:spacing w:after="0" w:before="0" w:line="360" w:lineRule="auto"/>
        <w:jc w:val="both"/>
      </w:pPr>
      <w:r>
        <w:rPr>
          <w:rFonts w:cs="Calibri"/>
          <w:color w:val="000000"/>
          <w:lang w:val="en-US"/>
        </w:rPr>
        <w:t>Expert consultants in computational theory, game theory, social cognition, imaging analysis, experimental design.</w:t>
      </w:r>
    </w:p>
    <w:p>
      <w:pPr>
        <w:pStyle w:val="style45"/>
        <w:spacing w:line="360" w:lineRule="auto"/>
        <w:jc w:val="both"/>
      </w:pPr>
      <w:r>
        <w:rPr>
          <w:rFonts w:cs="Calibri"/>
          <w:sz w:val="22"/>
          <w:szCs w:val="22"/>
          <w:lang w:val="en-US"/>
        </w:rPr>
        <w:t xml:space="preserve"> </w:t>
      </w:r>
    </w:p>
    <w:p>
      <w:pPr>
        <w:pStyle w:val="style2"/>
        <w:numPr>
          <w:ilvl w:val="1"/>
          <w:numId w:val="1"/>
        </w:numPr>
        <w:spacing w:line="360" w:lineRule="auto"/>
        <w:jc w:val="both"/>
      </w:pPr>
      <w:bookmarkStart w:id="5" w:name="__RefHeading__1165_697317409"/>
      <w:bookmarkStart w:id="6" w:name="_Toc347485509"/>
      <w:bookmarkEnd w:id="5"/>
      <w:r>
        <w:rPr>
          <w:rFonts w:cs="Calibri"/>
          <w:sz w:val="22"/>
          <w:szCs w:val="22"/>
          <w:lang w:val="en-US"/>
        </w:rPr>
        <w:t>1.3. Timetable for the project</w:t>
      </w:r>
      <w:bookmarkEnd w:id="6"/>
      <w:r>
        <w:rPr>
          <w:rFonts w:cs="Calibri"/>
          <w:sz w:val="22"/>
          <w:szCs w:val="22"/>
          <w:lang w:val="en-US"/>
        </w:rPr>
        <w:t xml:space="preserve"> </w:t>
      </w:r>
    </w:p>
    <w:p>
      <w:pPr>
        <w:pStyle w:val="style0"/>
        <w:spacing w:after="0" w:before="0" w:line="360" w:lineRule="auto"/>
        <w:jc w:val="both"/>
      </w:pPr>
      <w:r>
        <w:rPr>
          <w:rFonts w:cs="Calibri"/>
          <w:b/>
          <w:bCs/>
          <w:color w:val="000000"/>
          <w:lang w:val="en-US"/>
        </w:rPr>
      </w:r>
    </w:p>
    <w:p>
      <w:pPr>
        <w:pStyle w:val="style0"/>
        <w:spacing w:after="0" w:before="0" w:line="360" w:lineRule="auto"/>
        <w:jc w:val="both"/>
      </w:pPr>
      <w:r>
        <w:rPr>
          <w:rFonts w:cs="Calibri"/>
          <w:b/>
          <w:bCs/>
          <w:color w:val="000000"/>
          <w:lang w:val="en-US"/>
        </w:rPr>
        <w:t xml:space="preserve">Milestones and Work Plan </w:t>
      </w:r>
    </w:p>
    <w:p>
      <w:pPr>
        <w:pStyle w:val="style0"/>
        <w:spacing w:after="0" w:before="120" w:line="360" w:lineRule="auto"/>
        <w:jc w:val="both"/>
      </w:pPr>
      <w:r>
        <w:rPr>
          <w:rFonts w:cs="Calibri"/>
          <w:b/>
          <w:color w:val="000000"/>
          <w:lang w:val="en-US"/>
        </w:rPr>
        <w:t>Year 1: Defensive attack</w:t>
      </w:r>
    </w:p>
    <w:p>
      <w:pPr>
        <w:pStyle w:val="style0"/>
        <w:tabs>
          <w:tab w:leader="none" w:pos="1560" w:val="left"/>
        </w:tabs>
        <w:spacing w:after="0" w:before="120" w:line="360" w:lineRule="auto"/>
        <w:jc w:val="both"/>
      </w:pPr>
      <w:r>
        <w:rPr>
          <w:rFonts w:cs="Calibri"/>
          <w:color w:val="000000"/>
          <w:lang w:val="en-US"/>
        </w:rPr>
        <w:t xml:space="preserve">Months 1-2: </w:t>
        <w:tab/>
        <w:t>Behavioral study using the new Defensive attack social learning paradigm</w:t>
      </w:r>
    </w:p>
    <w:p>
      <w:pPr>
        <w:pStyle w:val="style0"/>
        <w:tabs>
          <w:tab w:leader="none" w:pos="1560" w:val="left"/>
        </w:tabs>
        <w:spacing w:after="0" w:before="120" w:line="360" w:lineRule="auto"/>
        <w:jc w:val="both"/>
      </w:pPr>
      <w:r>
        <w:rPr>
          <w:rFonts w:cs="Calibri"/>
          <w:color w:val="000000"/>
          <w:lang w:val="en-US"/>
        </w:rPr>
        <w:t xml:space="preserve">Month 3-4: </w:t>
        <w:tab/>
        <w:t xml:space="preserve">Analysis and modelling of behavioral data </w:t>
      </w:r>
    </w:p>
    <w:p>
      <w:pPr>
        <w:pStyle w:val="style0"/>
        <w:tabs>
          <w:tab w:leader="none" w:pos="1560" w:val="left"/>
        </w:tabs>
        <w:spacing w:after="0" w:before="120" w:line="360" w:lineRule="auto"/>
        <w:jc w:val="both"/>
      </w:pPr>
      <w:r>
        <w:rPr>
          <w:rFonts w:cs="Calibri"/>
          <w:color w:val="000000"/>
          <w:lang w:val="en-US"/>
        </w:rPr>
        <w:t xml:space="preserve">Months 5-6: </w:t>
        <w:tab/>
        <w:t xml:space="preserve">Preparation of behavioral manuscript for publication </w:t>
      </w:r>
      <w:r>
        <w:rPr>
          <w:rFonts w:cs="Calibri"/>
          <w:b/>
          <w:color w:val="000000"/>
          <w:lang w:val="en-US"/>
        </w:rPr>
        <w:t>(STUDY 1)</w:t>
      </w:r>
    </w:p>
    <w:p>
      <w:pPr>
        <w:pStyle w:val="style0"/>
        <w:tabs>
          <w:tab w:leader="none" w:pos="1560" w:val="left"/>
        </w:tabs>
        <w:spacing w:after="0" w:before="120" w:line="360" w:lineRule="auto"/>
        <w:jc w:val="both"/>
      </w:pPr>
      <w:r>
        <w:rPr>
          <w:rFonts w:cs="Calibri"/>
          <w:color w:val="000000"/>
          <w:lang w:val="en-US"/>
        </w:rPr>
        <w:t xml:space="preserve">Months 7-8: </w:t>
        <w:tab/>
        <w:t>Preparation of simultaneous fMRI studies</w:t>
      </w:r>
    </w:p>
    <w:p>
      <w:pPr>
        <w:pStyle w:val="style0"/>
        <w:tabs>
          <w:tab w:leader="none" w:pos="1560" w:val="left"/>
        </w:tabs>
        <w:spacing w:after="0" w:before="120" w:line="360" w:lineRule="auto"/>
        <w:jc w:val="both"/>
      </w:pPr>
      <w:r>
        <w:rPr>
          <w:rFonts w:cs="Calibri"/>
          <w:color w:val="000000"/>
          <w:lang w:val="en-US"/>
        </w:rPr>
        <w:t xml:space="preserve">Months 9-10: </w:t>
        <w:tab/>
        <w:t xml:space="preserve"> fMRI studies: data acquisition, SPM analysis</w:t>
      </w:r>
    </w:p>
    <w:p>
      <w:pPr>
        <w:pStyle w:val="style0"/>
        <w:tabs>
          <w:tab w:leader="none" w:pos="1560" w:val="left"/>
        </w:tabs>
        <w:spacing w:after="0" w:before="120" w:line="360" w:lineRule="auto"/>
        <w:jc w:val="both"/>
      </w:pPr>
      <w:r>
        <w:rPr>
          <w:rFonts w:cs="Calibri"/>
          <w:color w:val="000000"/>
          <w:lang w:val="en-US"/>
        </w:rPr>
        <w:t xml:space="preserve">Months 11-12: </w:t>
        <w:tab/>
        <w:t xml:space="preserve"> Analysis and Preparation of manuscript for publication </w:t>
      </w:r>
      <w:r>
        <w:rPr>
          <w:rFonts w:cs="Calibri"/>
          <w:b/>
          <w:color w:val="000000"/>
          <w:lang w:val="en-US"/>
        </w:rPr>
        <w:t>(STUDY 2)</w:t>
      </w:r>
    </w:p>
    <w:p>
      <w:pPr>
        <w:pStyle w:val="style0"/>
        <w:spacing w:after="0" w:before="120" w:line="360" w:lineRule="auto"/>
        <w:jc w:val="both"/>
      </w:pPr>
      <w:r>
        <w:rPr>
          <w:rFonts w:cs="Calibri"/>
          <w:color w:val="000000"/>
          <w:lang w:val="en-US"/>
        </w:rPr>
        <w:t xml:space="preserve"> </w:t>
      </w:r>
    </w:p>
    <w:p>
      <w:pPr>
        <w:pStyle w:val="style2"/>
        <w:numPr>
          <w:ilvl w:val="1"/>
          <w:numId w:val="1"/>
        </w:numPr>
        <w:spacing w:line="360" w:lineRule="auto"/>
        <w:jc w:val="both"/>
      </w:pPr>
      <w:bookmarkStart w:id="7" w:name="__RefHeading__1167_697317409"/>
      <w:bookmarkStart w:id="8" w:name="_Toc347485510"/>
      <w:bookmarkEnd w:id="7"/>
      <w:r>
        <w:rPr>
          <w:rFonts w:cs="Calibri"/>
          <w:sz w:val="22"/>
          <w:szCs w:val="22"/>
          <w:lang w:val="en-US"/>
        </w:rPr>
        <w:t>1.4. Significance of the planned research</w:t>
      </w:r>
      <w:bookmarkEnd w:id="8"/>
      <w:r>
        <w:rPr>
          <w:rFonts w:cs="Calibri"/>
          <w:sz w:val="22"/>
          <w:szCs w:val="22"/>
          <w:lang w:val="en-US"/>
        </w:rPr>
        <w:t xml:space="preserve"> </w:t>
      </w:r>
    </w:p>
    <w:p>
      <w:pPr>
        <w:pStyle w:val="style0"/>
        <w:spacing w:after="0" w:before="0" w:line="360" w:lineRule="auto"/>
        <w:jc w:val="both"/>
      </w:pPr>
      <w:r>
        <w:rPr>
          <w:rFonts w:cs="Calibri"/>
          <w:color w:val="000000"/>
          <w:lang w:val="en-US"/>
        </w:rPr>
      </w:r>
    </w:p>
    <w:p>
      <w:pPr>
        <w:pStyle w:val="style0"/>
        <w:spacing w:line="360" w:lineRule="auto"/>
        <w:jc w:val="both"/>
      </w:pPr>
      <w:r>
        <w:rPr>
          <w:rFonts w:cs="Calibri"/>
          <w:color w:val="000000"/>
          <w:lang w:val="en-US"/>
        </w:rPr>
        <w:t>Human stress is the biggest contemporary challenge to quality of life. Implicated in a staggering number of stress-related conditions, from cardiovascular to psychiatric illness, it is the most important public health issue [</w:t>
      </w:r>
      <w:hyperlink w:anchor="_ENREF_3">
        <w:r>
          <w:rPr>
            <w:rStyle w:val="style18"/>
            <w:rFonts w:cs="Calibri"/>
            <w:color w:val="000000"/>
            <w:lang w:val="en-US"/>
          </w:rPr>
          <w:t>3</w:t>
        </w:r>
      </w:hyperlink>
      <w:r>
        <w:rPr>
          <w:rFonts w:cs="Calibri"/>
          <w:color w:val="000000"/>
          <w:lang w:val="en-US"/>
        </w:rPr>
        <w:t xml:space="preserve">]. </w:t>
      </w:r>
      <w:r>
        <w:rPr>
          <w:rFonts w:cs="Calibri"/>
          <w:bCs/>
          <w:color w:val="000000"/>
          <w:lang w:val="en-US"/>
        </w:rPr>
        <w:t>Because social events such as conflict can create and amplify psychological stress and its endocrine indices [</w:t>
      </w:r>
      <w:hyperlink w:anchor="_ENREF_32">
        <w:r>
          <w:rPr>
            <w:rStyle w:val="style18"/>
            <w:rFonts w:cs="Calibri"/>
            <w:bCs/>
            <w:color w:val="000000"/>
            <w:lang w:val="en-US"/>
          </w:rPr>
          <w:t>32</w:t>
        </w:r>
      </w:hyperlink>
      <w:r>
        <w:rPr>
          <w:rFonts w:cs="Calibri"/>
          <w:bCs/>
          <w:color w:val="000000"/>
          <w:lang w:val="en-US"/>
        </w:rPr>
        <w:t>,</w:t>
      </w:r>
      <w:hyperlink w:anchor="_ENREF_33">
        <w:r>
          <w:rPr>
            <w:rStyle w:val="style18"/>
            <w:rFonts w:cs="Calibri"/>
            <w:bCs/>
            <w:color w:val="000000"/>
            <w:lang w:val="en-US"/>
          </w:rPr>
          <w:t>33</w:t>
        </w:r>
      </w:hyperlink>
      <w:r>
        <w:rPr>
          <w:rFonts w:cs="Calibri"/>
          <w:bCs/>
          <w:color w:val="000000"/>
          <w:lang w:val="en-US"/>
        </w:rPr>
        <w:t>], we will experimentally examine novel mechanisms that derail conflict, increasing social stressors. This connection makes our work relevant to a large and active field of stress research. In particular, it is of special relevance to the study of stress-related psychiatric illness.</w:t>
      </w:r>
      <w:r>
        <w:rPr>
          <w:rFonts w:cs="Calibri"/>
          <w:color w:val="000000"/>
          <w:lang w:val="en-US"/>
        </w:rPr>
        <w:t xml:space="preserve"> Clinical theorists have long speculated, but not tested, an evolved basis for some socially inappropriate defensive behavior.</w:t>
      </w:r>
    </w:p>
    <w:p>
      <w:pPr>
        <w:pStyle w:val="style0"/>
        <w:spacing w:after="0" w:before="0" w:line="360" w:lineRule="auto"/>
        <w:jc w:val="both"/>
      </w:pPr>
      <w:r>
        <w:rPr>
          <w:rFonts w:cs="Calibri"/>
          <w:color w:val="000000"/>
          <w:lang w:val="en-US"/>
        </w:rPr>
        <w:t>There is an established literature on the neuronal basis of impulsive responses to reward. Our work will contribute much-needed insights to neuroscientific theories of impulsive responses to punishment.</w:t>
      </w:r>
    </w:p>
    <w:p>
      <w:pPr>
        <w:pStyle w:val="style0"/>
        <w:spacing w:after="0" w:before="0" w:line="360" w:lineRule="auto"/>
        <w:jc w:val="both"/>
      </w:pPr>
      <w:r>
        <w:rPr>
          <w:rFonts w:cs="Calibri"/>
          <w:color w:val="000000"/>
          <w:lang w:val="en-US"/>
        </w:rPr>
      </w:r>
    </w:p>
    <w:p>
      <w:pPr>
        <w:pStyle w:val="style0"/>
        <w:spacing w:after="0" w:before="0" w:line="360" w:lineRule="auto"/>
        <w:jc w:val="both"/>
      </w:pPr>
      <w:r>
        <w:rPr>
          <w:rFonts w:cs="Calibri"/>
          <w:color w:val="000000"/>
          <w:lang w:val="en-US"/>
        </w:rPr>
        <w:t>In the long run this paradigm will serve as a useful assay to examine sensitivity of defensive attack to classic modulators of fear learning and expression (i.e. benzodiazepines or 5HT agonists which inhibit defensive strike in non-human animals [</w:t>
      </w:r>
      <w:hyperlink w:anchor="_ENREF_34">
        <w:r>
          <w:rPr>
            <w:rStyle w:val="style18"/>
            <w:rFonts w:cs="Calibri"/>
            <w:color w:val="000000"/>
            <w:lang w:val="en-US"/>
          </w:rPr>
          <w:t>34</w:t>
        </w:r>
      </w:hyperlink>
      <w:r>
        <w:rPr>
          <w:rFonts w:cs="Calibri"/>
          <w:color w:val="000000"/>
          <w:lang w:val="en-US"/>
        </w:rPr>
        <w:t xml:space="preserve">]). </w:t>
      </w:r>
    </w:p>
    <w:p>
      <w:pPr>
        <w:pStyle w:val="style0"/>
        <w:spacing w:after="0" w:before="0" w:line="360" w:lineRule="auto"/>
        <w:jc w:val="both"/>
      </w:pPr>
      <w:r>
        <w:rPr>
          <w:rFonts w:cs="Calibri"/>
          <w:color w:val="000000"/>
          <w:lang w:val="en-US"/>
        </w:rPr>
      </w:r>
    </w:p>
    <w:p>
      <w:pPr>
        <w:pStyle w:val="style1"/>
        <w:spacing w:line="360" w:lineRule="auto"/>
        <w:jc w:val="both"/>
      </w:pPr>
      <w:r>
        <w:rPr>
          <w:rFonts w:cs="Calibri"/>
          <w:sz w:val="22"/>
          <w:szCs w:val="22"/>
          <w:lang w:val="en-US"/>
        </w:rPr>
      </w:r>
    </w:p>
    <w:p>
      <w:pPr>
        <w:pStyle w:val="style0"/>
        <w:spacing w:line="360" w:lineRule="auto"/>
        <w:jc w:val="both"/>
      </w:pPr>
      <w:r>
        <w:rPr>
          <w:lang w:val="en-US"/>
        </w:rPr>
      </w:r>
    </w:p>
    <w:p>
      <w:pPr>
        <w:pStyle w:val="style0"/>
        <w:spacing w:line="360" w:lineRule="auto"/>
        <w:jc w:val="both"/>
      </w:pPr>
      <w:r>
        <w:rPr>
          <w:lang w:val="en-US"/>
        </w:rPr>
      </w:r>
    </w:p>
    <w:p>
      <w:pPr>
        <w:pStyle w:val="style0"/>
        <w:spacing w:line="360" w:lineRule="auto"/>
        <w:jc w:val="both"/>
      </w:pPr>
      <w:r>
        <w:rPr>
          <w:lang w:val="en-US"/>
        </w:rPr>
      </w:r>
    </w:p>
    <w:p>
      <w:pPr>
        <w:pStyle w:val="style0"/>
        <w:spacing w:line="360" w:lineRule="auto"/>
        <w:jc w:val="both"/>
      </w:pPr>
      <w:r>
        <w:rPr>
          <w:lang w:val="en-US"/>
        </w:rPr>
      </w:r>
    </w:p>
    <w:p>
      <w:pPr>
        <w:pStyle w:val="style0"/>
        <w:spacing w:line="360" w:lineRule="auto"/>
        <w:jc w:val="both"/>
      </w:pPr>
      <w:r>
        <w:rPr>
          <w:lang w:val="en-US"/>
        </w:rPr>
      </w:r>
    </w:p>
    <w:p>
      <w:pPr>
        <w:pStyle w:val="style0"/>
        <w:spacing w:line="360" w:lineRule="auto"/>
        <w:jc w:val="both"/>
      </w:pPr>
      <w:r>
        <w:rPr>
          <w:lang w:val="en-US"/>
        </w:rPr>
      </w:r>
    </w:p>
    <w:p>
      <w:pPr>
        <w:pStyle w:val="style0"/>
        <w:spacing w:line="360" w:lineRule="auto"/>
        <w:jc w:val="both"/>
      </w:pPr>
      <w:r>
        <w:rPr>
          <w:lang w:val="en-US"/>
        </w:rPr>
      </w:r>
    </w:p>
    <w:p>
      <w:pPr>
        <w:pStyle w:val="style0"/>
        <w:spacing w:line="360" w:lineRule="auto"/>
        <w:jc w:val="both"/>
      </w:pPr>
      <w:r>
        <w:rPr>
          <w:lang w:val="en-US"/>
        </w:rPr>
      </w:r>
    </w:p>
    <w:p>
      <w:pPr>
        <w:pStyle w:val="style0"/>
        <w:spacing w:line="360" w:lineRule="auto"/>
        <w:jc w:val="both"/>
      </w:pPr>
      <w:r>
        <w:rPr>
          <w:lang w:val="en-US"/>
        </w:rPr>
      </w:r>
    </w:p>
    <w:p>
      <w:pPr>
        <w:pStyle w:val="style0"/>
        <w:spacing w:line="360" w:lineRule="auto"/>
        <w:jc w:val="both"/>
      </w:pPr>
      <w:r>
        <w:rPr>
          <w:lang w:val="en-US"/>
        </w:rPr>
      </w:r>
    </w:p>
    <w:p>
      <w:pPr>
        <w:pStyle w:val="style0"/>
        <w:spacing w:line="360" w:lineRule="auto"/>
        <w:jc w:val="both"/>
      </w:pPr>
      <w:r>
        <w:rPr>
          <w:lang w:val="en-US"/>
        </w:rPr>
      </w:r>
    </w:p>
    <w:p>
      <w:pPr>
        <w:pStyle w:val="style0"/>
        <w:spacing w:line="360" w:lineRule="auto"/>
        <w:jc w:val="both"/>
      </w:pPr>
      <w:r>
        <w:rPr>
          <w:lang w:val="en-US"/>
        </w:rPr>
      </w:r>
    </w:p>
    <w:p>
      <w:pPr>
        <w:pStyle w:val="style0"/>
        <w:spacing w:line="360" w:lineRule="auto"/>
        <w:jc w:val="both"/>
      </w:pPr>
      <w:r>
        <w:rPr>
          <w:lang w:val="en-US"/>
        </w:rPr>
      </w:r>
    </w:p>
    <w:p>
      <w:pPr>
        <w:pStyle w:val="style1"/>
        <w:spacing w:line="360" w:lineRule="auto"/>
        <w:jc w:val="both"/>
      </w:pPr>
      <w:bookmarkStart w:id="9" w:name="__RefHeading__1169_697317409"/>
      <w:bookmarkStart w:id="10" w:name="_Toc347485511"/>
      <w:bookmarkEnd w:id="9"/>
      <w:bookmarkEnd w:id="10"/>
      <w:r>
        <w:rPr>
          <w:rFonts w:cs="Calibri"/>
          <w:sz w:val="22"/>
          <w:szCs w:val="22"/>
          <w:lang w:val="en-US"/>
        </w:rPr>
        <w:t>2. References</w:t>
      </w:r>
    </w:p>
    <w:p>
      <w:pPr>
        <w:pStyle w:val="style0"/>
        <w:spacing w:after="0" w:before="0" w:line="100" w:lineRule="atLeast"/>
        <w:ind w:hanging="720" w:left="720" w:right="0"/>
        <w:jc w:val="both"/>
      </w:pPr>
      <w:bookmarkStart w:id="11" w:name="_ENREF_1"/>
      <w:bookmarkEnd w:id="11"/>
      <w:r>
        <w:rPr>
          <w:rFonts w:cs="Calibri"/>
          <w:color w:val="000000"/>
          <w:lang w:val="en-US"/>
        </w:rPr>
        <w:t>1. Bandler R, Shipley MT (1994) Columnar organization in the midbrain periaqueductal gray: modules for emotional expression? Trends in Neurosciences 17: 379-389.</w:t>
      </w:r>
    </w:p>
    <w:p>
      <w:pPr>
        <w:pStyle w:val="style0"/>
        <w:spacing w:after="0" w:before="0" w:line="100" w:lineRule="atLeast"/>
        <w:ind w:hanging="720" w:left="720" w:right="0"/>
        <w:jc w:val="both"/>
      </w:pPr>
      <w:bookmarkStart w:id="12" w:name="_ENREF_2"/>
      <w:bookmarkEnd w:id="12"/>
      <w:r>
        <w:rPr>
          <w:rFonts w:cs="Calibri"/>
          <w:color w:val="000000"/>
          <w:lang w:val="en-US"/>
        </w:rPr>
        <w:t>2. Ulrich-Lai YM, Herman JP (2009) Neural regulation of endocrine and autonomic stress responses. Nature Reviews Neuroscience 10: 397-409.</w:t>
      </w:r>
    </w:p>
    <w:p>
      <w:pPr>
        <w:pStyle w:val="style0"/>
        <w:spacing w:after="0" w:before="0" w:line="100" w:lineRule="atLeast"/>
        <w:ind w:hanging="720" w:left="720" w:right="0"/>
        <w:jc w:val="both"/>
      </w:pPr>
      <w:bookmarkStart w:id="13" w:name="_ENREF_3"/>
      <w:bookmarkEnd w:id="13"/>
      <w:r>
        <w:rPr>
          <w:rFonts w:cs="Calibri"/>
          <w:color w:val="000000"/>
          <w:lang w:val="en-US"/>
        </w:rPr>
        <w:t>3. Chrousos GP (2009) Stress and disorders of the stress system. Nature Reviews Endocrinology 5: 374-381.</w:t>
      </w:r>
    </w:p>
    <w:p>
      <w:pPr>
        <w:pStyle w:val="style0"/>
        <w:spacing w:after="0" w:before="0" w:line="100" w:lineRule="atLeast"/>
        <w:ind w:hanging="720" w:left="720" w:right="0"/>
        <w:jc w:val="both"/>
      </w:pPr>
      <w:bookmarkStart w:id="14" w:name="_ENREF_4"/>
      <w:bookmarkEnd w:id="14"/>
      <w:r>
        <w:rPr>
          <w:rFonts w:cs="Calibri"/>
          <w:color w:val="000000"/>
          <w:lang w:val="en-US"/>
        </w:rPr>
        <w:t>4. Gilbert P (2001) Evolutionary approaches to psychopathology: The role of natural defences. Australian and New Zealand Journal of Psychiatry 35: 17-27.</w:t>
      </w:r>
    </w:p>
    <w:p>
      <w:pPr>
        <w:pStyle w:val="style0"/>
        <w:spacing w:after="0" w:before="0" w:line="100" w:lineRule="atLeast"/>
        <w:ind w:hanging="720" w:left="720" w:right="0"/>
        <w:jc w:val="both"/>
      </w:pPr>
      <w:bookmarkStart w:id="15" w:name="_ENREF_5"/>
      <w:bookmarkEnd w:id="15"/>
      <w:r>
        <w:rPr>
          <w:rFonts w:cs="Calibri"/>
          <w:color w:val="000000"/>
          <w:lang w:val="en-US"/>
        </w:rPr>
        <w:t>5. Allen N, Badcock P (2003) The social risk hypothesis of depressed mood: Evolutionary, psychosocial, and neurobiological perspectives. Psychological Bulletin 129: 887-913.</w:t>
      </w:r>
    </w:p>
    <w:p>
      <w:pPr>
        <w:pStyle w:val="style0"/>
        <w:spacing w:after="0" w:before="0" w:line="100" w:lineRule="atLeast"/>
        <w:ind w:hanging="720" w:left="720" w:right="0"/>
        <w:jc w:val="both"/>
      </w:pPr>
      <w:bookmarkStart w:id="16" w:name="_ENREF_6"/>
      <w:bookmarkEnd w:id="16"/>
      <w:r>
        <w:rPr>
          <w:rFonts w:cs="Calibri"/>
          <w:color w:val="000000"/>
          <w:lang w:val="en-US"/>
        </w:rPr>
        <w:t>6. Allan S, Gilbert P (1997) Submissive behaviour and psychopathology. British Journal of Clinical Psychology 36: 467-488.</w:t>
      </w:r>
    </w:p>
    <w:p>
      <w:pPr>
        <w:pStyle w:val="style0"/>
        <w:spacing w:after="0" w:before="0" w:line="100" w:lineRule="atLeast"/>
        <w:ind w:hanging="720" w:left="720" w:right="0"/>
        <w:jc w:val="both"/>
      </w:pPr>
      <w:bookmarkStart w:id="17" w:name="_ENREF_7"/>
      <w:bookmarkEnd w:id="17"/>
      <w:r>
        <w:rPr>
          <w:rFonts w:cs="Calibri"/>
          <w:color w:val="000000"/>
          <w:lang w:val="en-US"/>
        </w:rPr>
        <w:t>7. Gilbert P (2000) Varieties of submissive behavior as forms of social defense: Their evolution and role in depression. Subordination and defeat: An evolutionary approach to mood disorders and their therapy: 3-45.</w:t>
      </w:r>
    </w:p>
    <w:p>
      <w:pPr>
        <w:pStyle w:val="style0"/>
        <w:spacing w:after="0" w:before="0" w:line="100" w:lineRule="atLeast"/>
        <w:ind w:hanging="720" w:left="720" w:right="0"/>
        <w:jc w:val="both"/>
      </w:pPr>
      <w:bookmarkStart w:id="18" w:name="_ENREF_8"/>
      <w:bookmarkEnd w:id="18"/>
      <w:r>
        <w:rPr>
          <w:rFonts w:cs="Calibri"/>
          <w:color w:val="000000"/>
          <w:lang w:val="en-US"/>
        </w:rPr>
        <w:t>8. Huhman KL (2006) Social conflict models: Can they inform us about human psychopathology? Hormones and Behavior 50: 640-646.</w:t>
      </w:r>
    </w:p>
    <w:p>
      <w:pPr>
        <w:pStyle w:val="style0"/>
        <w:spacing w:after="0" w:before="0" w:line="100" w:lineRule="atLeast"/>
        <w:ind w:hanging="720" w:left="720" w:right="0"/>
        <w:jc w:val="both"/>
      </w:pPr>
      <w:bookmarkStart w:id="19" w:name="_ENREF_9"/>
      <w:bookmarkEnd w:id="19"/>
      <w:r>
        <w:rPr>
          <w:rFonts w:cs="Calibri"/>
          <w:color w:val="000000"/>
          <w:lang w:val="en-US"/>
        </w:rPr>
        <w:t>9. Gilbert P (1993) Defence and safety: Their function in social behaviour and psychopathology. British Journal of Clinical Psychology 32: 131-153.</w:t>
      </w:r>
    </w:p>
    <w:p>
      <w:pPr>
        <w:pStyle w:val="style0"/>
        <w:spacing w:after="0" w:before="0" w:line="100" w:lineRule="atLeast"/>
        <w:ind w:hanging="720" w:left="720" w:right="0"/>
        <w:jc w:val="both"/>
      </w:pPr>
      <w:bookmarkStart w:id="20" w:name="_ENREF_10"/>
      <w:bookmarkEnd w:id="20"/>
      <w:r>
        <w:rPr>
          <w:rFonts w:cs="Calibri"/>
          <w:color w:val="000000"/>
          <w:lang w:val="en-US"/>
        </w:rPr>
        <w:t>10. Derntl B, Seidel EM, Eickhoff SB, Kellermann T, Gur RC, et al. (2011) Neural correlates of social approach and withdrawal in patients with major depression. Social Neuroscience.</w:t>
      </w:r>
    </w:p>
    <w:p>
      <w:pPr>
        <w:pStyle w:val="style0"/>
        <w:spacing w:after="0" w:before="0" w:line="100" w:lineRule="atLeast"/>
        <w:ind w:hanging="720" w:left="720" w:right="0"/>
        <w:jc w:val="both"/>
      </w:pPr>
      <w:bookmarkStart w:id="21" w:name="_ENREF_11"/>
      <w:bookmarkEnd w:id="21"/>
      <w:r>
        <w:rPr>
          <w:rFonts w:cs="Calibri"/>
          <w:color w:val="000000"/>
          <w:lang w:val="en-US"/>
        </w:rPr>
        <w:t>11. Herzberg DS, Hammen C, Burge D, Daley SE, Davila J, et al. (1998) Social competence as a predictor of chronic interpersonal stress. Personal Relationships 5: 207-218.</w:t>
      </w:r>
    </w:p>
    <w:p>
      <w:pPr>
        <w:pStyle w:val="style0"/>
        <w:spacing w:after="0" w:before="0" w:line="100" w:lineRule="atLeast"/>
        <w:ind w:hanging="720" w:left="720" w:right="0"/>
        <w:jc w:val="both"/>
      </w:pPr>
      <w:bookmarkStart w:id="22" w:name="_ENREF_12"/>
      <w:bookmarkEnd w:id="22"/>
      <w:r>
        <w:rPr>
          <w:rFonts w:cs="Calibri"/>
          <w:color w:val="000000"/>
          <w:lang w:val="en-US"/>
        </w:rPr>
        <w:t>12. Von Clausewitz C, Graham CJJ (2008) On war: Digireads. Com.</w:t>
      </w:r>
    </w:p>
    <w:p>
      <w:pPr>
        <w:pStyle w:val="style0"/>
        <w:spacing w:after="0" w:before="0" w:line="100" w:lineRule="atLeast"/>
        <w:ind w:hanging="720" w:left="720" w:right="0"/>
        <w:jc w:val="both"/>
      </w:pPr>
      <w:bookmarkStart w:id="23" w:name="_ENREF_13"/>
      <w:bookmarkEnd w:id="23"/>
      <w:r>
        <w:rPr>
          <w:rFonts w:cs="Calibri"/>
          <w:color w:val="000000"/>
          <w:lang w:val="en-US"/>
        </w:rPr>
        <w:t>13. Von Neumann J, Morgenstern O, Rubinstein A, Kuhn HW (2007) Theory of games and economic behavior: Princeton Univ Pr.</w:t>
      </w:r>
    </w:p>
    <w:p>
      <w:pPr>
        <w:pStyle w:val="style0"/>
        <w:spacing w:after="0" w:before="0" w:line="100" w:lineRule="atLeast"/>
        <w:ind w:hanging="720" w:left="720" w:right="0"/>
        <w:jc w:val="both"/>
      </w:pPr>
      <w:bookmarkStart w:id="24" w:name="_ENREF_14"/>
      <w:bookmarkEnd w:id="24"/>
      <w:r>
        <w:rPr>
          <w:rFonts w:cs="Calibri"/>
          <w:color w:val="000000"/>
          <w:lang w:val="en-US"/>
        </w:rPr>
        <w:t>14. Caroline Blanchard D, Hynd AL, Minke KA, Minemoto T, Blanchard RJ (2001) Human defensive behaviors to threat scenarios show parallels to fear-and anxiety-related defense patterns of non-human mammals. Neuroscience &amp; Biobehavioral Reviews 25: 761-770.</w:t>
      </w:r>
    </w:p>
    <w:p>
      <w:pPr>
        <w:pStyle w:val="style0"/>
        <w:spacing w:after="0" w:before="0" w:line="100" w:lineRule="atLeast"/>
        <w:ind w:hanging="720" w:left="720" w:right="0"/>
        <w:jc w:val="both"/>
      </w:pPr>
      <w:bookmarkStart w:id="25" w:name="_ENREF_15"/>
      <w:bookmarkEnd w:id="25"/>
      <w:r>
        <w:rPr>
          <w:rFonts w:cs="Calibri"/>
          <w:color w:val="000000"/>
          <w:lang w:val="en-US"/>
        </w:rPr>
        <w:t>15. Clutton-Brock TH, Parker GA (1995) Punishment in animal societies. Nature 373: 209-216.</w:t>
      </w:r>
    </w:p>
    <w:p>
      <w:pPr>
        <w:pStyle w:val="style0"/>
        <w:spacing w:after="0" w:before="0" w:line="100" w:lineRule="atLeast"/>
        <w:ind w:hanging="720" w:left="720" w:right="0"/>
        <w:jc w:val="both"/>
      </w:pPr>
      <w:bookmarkStart w:id="26" w:name="_ENREF_16"/>
      <w:bookmarkEnd w:id="26"/>
      <w:r>
        <w:rPr>
          <w:rFonts w:cs="Calibri"/>
          <w:color w:val="000000"/>
          <w:lang w:val="en-US"/>
        </w:rPr>
        <w:t>16. Blanchard DC, Griebel G, Pobbe R, Blanchard RJ (2011) Risk assessment as an evolved threat detection and analysis process. Neuroscience &amp; Biobehavioral Reviews 35: 991-998.</w:t>
      </w:r>
    </w:p>
    <w:p>
      <w:pPr>
        <w:pStyle w:val="style0"/>
        <w:spacing w:after="0" w:before="0" w:line="100" w:lineRule="atLeast"/>
        <w:ind w:hanging="720" w:left="720" w:right="0"/>
        <w:jc w:val="both"/>
      </w:pPr>
      <w:bookmarkStart w:id="27" w:name="_ENREF_17"/>
      <w:bookmarkEnd w:id="27"/>
      <w:r>
        <w:rPr>
          <w:rFonts w:cs="Calibri"/>
          <w:color w:val="000000"/>
          <w:lang w:val="en-US"/>
        </w:rPr>
        <w:t>17. Berman MG, Peltier S, Nee DE, Kross E, Deldin PJ, et al. (2011) Depression, rumination and the default network. Social cognitive and affective neuroscience 6: 548-555.</w:t>
      </w:r>
    </w:p>
    <w:p>
      <w:pPr>
        <w:pStyle w:val="style0"/>
        <w:spacing w:after="0" w:before="0" w:line="100" w:lineRule="atLeast"/>
        <w:ind w:hanging="720" w:left="720" w:right="0"/>
        <w:jc w:val="both"/>
      </w:pPr>
      <w:bookmarkStart w:id="28" w:name="_ENREF_18"/>
      <w:bookmarkEnd w:id="28"/>
      <w:r>
        <w:rPr>
          <w:rFonts w:cs="Calibri"/>
          <w:color w:val="000000"/>
          <w:lang w:val="en-US"/>
        </w:rPr>
        <w:t>18. Nolen-Hoeksema S, Wisco B, Lyubomirsky S (2008) Rethinking rumination. Perspectives on Psychological Science 3: 400.</w:t>
      </w:r>
    </w:p>
    <w:p>
      <w:pPr>
        <w:pStyle w:val="style0"/>
        <w:spacing w:after="0" w:before="0" w:line="100" w:lineRule="atLeast"/>
        <w:ind w:hanging="720" w:left="720" w:right="0"/>
        <w:jc w:val="both"/>
      </w:pPr>
      <w:bookmarkStart w:id="29" w:name="_ENREF_19"/>
      <w:bookmarkEnd w:id="29"/>
      <w:r>
        <w:rPr>
          <w:rFonts w:cs="Calibri"/>
          <w:color w:val="000000"/>
          <w:lang w:val="en-US"/>
        </w:rPr>
        <w:t>19. Gerin W, Davidson K, Christenfeld N, Goyal T, Schwartz J (2006) The role of angry rumination and distraction in blood pressure recovery from emotional arousal. Psychosomatic Medicine 68: 64.</w:t>
      </w:r>
    </w:p>
    <w:p>
      <w:pPr>
        <w:pStyle w:val="style0"/>
        <w:spacing w:after="0" w:before="0" w:line="100" w:lineRule="atLeast"/>
        <w:ind w:hanging="720" w:left="720" w:right="0"/>
        <w:jc w:val="both"/>
      </w:pPr>
      <w:bookmarkStart w:id="30" w:name="_ENREF_20"/>
      <w:bookmarkEnd w:id="30"/>
      <w:r>
        <w:rPr>
          <w:rFonts w:cs="Calibri"/>
          <w:color w:val="000000"/>
          <w:lang w:val="en-US"/>
        </w:rPr>
        <w:t>20. Whitmer A, Banich M (2007) Inhibition versus switching deficits in different forms of rumination. Psychological Science 18: 546.</w:t>
      </w:r>
    </w:p>
    <w:p>
      <w:pPr>
        <w:pStyle w:val="style0"/>
        <w:spacing w:after="0" w:before="0" w:line="100" w:lineRule="atLeast"/>
        <w:ind w:hanging="720" w:left="720" w:right="0"/>
        <w:jc w:val="both"/>
      </w:pPr>
      <w:bookmarkStart w:id="31" w:name="_ENREF_21"/>
      <w:bookmarkEnd w:id="31"/>
      <w:r>
        <w:rPr>
          <w:rFonts w:cs="Calibri"/>
          <w:color w:val="000000"/>
          <w:lang w:val="en-US"/>
        </w:rPr>
        <w:t>21. Andrews PW, Thomson Jr JA (2009) The bright side of being blue: Depression as an adaptation for analyzing complex problems. Psychological review 116: 620.</w:t>
      </w:r>
    </w:p>
    <w:p>
      <w:pPr>
        <w:pStyle w:val="style0"/>
        <w:spacing w:after="0" w:before="0" w:line="100" w:lineRule="atLeast"/>
        <w:ind w:hanging="720" w:left="720" w:right="0"/>
        <w:jc w:val="both"/>
      </w:pPr>
      <w:bookmarkStart w:id="32" w:name="_ENREF_22"/>
      <w:bookmarkEnd w:id="32"/>
      <w:r>
        <w:rPr>
          <w:rFonts w:cs="Calibri"/>
          <w:color w:val="000000"/>
          <w:lang w:val="en-US"/>
        </w:rPr>
        <w:t>22. Taylor SE, Klein LC, Lewis BP, Gruenewald TL, Gurung RAR, et al. (2000) Biobehavioral responses to stress in females: Tend-and-befriend, not fight-or-flight. Psychological Review 107: 411.</w:t>
      </w:r>
    </w:p>
    <w:p>
      <w:pPr>
        <w:pStyle w:val="style0"/>
        <w:spacing w:after="0" w:before="0" w:line="100" w:lineRule="atLeast"/>
        <w:ind w:hanging="720" w:left="720" w:right="0"/>
        <w:jc w:val="both"/>
      </w:pPr>
      <w:bookmarkStart w:id="33" w:name="_ENREF_23"/>
      <w:bookmarkEnd w:id="33"/>
      <w:r>
        <w:rPr>
          <w:rFonts w:cs="Calibri"/>
          <w:color w:val="000000"/>
          <w:lang w:val="en-US"/>
        </w:rPr>
        <w:t>23. Bowlby J (1988) A secure base: Clinical applications of attachment theory: Psychology Press.</w:t>
      </w:r>
    </w:p>
    <w:p>
      <w:pPr>
        <w:pStyle w:val="style0"/>
        <w:spacing w:after="0" w:before="0" w:line="100" w:lineRule="atLeast"/>
        <w:ind w:hanging="720" w:left="720" w:right="0"/>
        <w:jc w:val="both"/>
      </w:pPr>
      <w:bookmarkStart w:id="34" w:name="_ENREF_24"/>
      <w:bookmarkEnd w:id="34"/>
      <w:r>
        <w:rPr>
          <w:rFonts w:cs="Calibri"/>
          <w:color w:val="000000"/>
          <w:lang w:val="en-US"/>
        </w:rPr>
        <w:t>24. Sih A, Kats LB, Maurer EF (2000) Does phylogenetic inertia explain the evolution of ineffective antipredator behavior in a sunfish-salamander system? Behavioral Ecology and Sociobiology 49: 48-56.</w:t>
      </w:r>
    </w:p>
    <w:p>
      <w:pPr>
        <w:pStyle w:val="style0"/>
        <w:spacing w:after="0" w:before="0" w:line="100" w:lineRule="atLeast"/>
        <w:ind w:hanging="720" w:left="720" w:right="0"/>
        <w:jc w:val="both"/>
      </w:pPr>
      <w:bookmarkStart w:id="35" w:name="_ENREF_25"/>
      <w:bookmarkEnd w:id="35"/>
      <w:r>
        <w:rPr>
          <w:rFonts w:cs="Calibri"/>
          <w:color w:val="000000"/>
          <w:lang w:val="en-US"/>
        </w:rPr>
        <w:t>25. Morse W, Mead RN, Kelleher R (1967) Modulation of elicited behavior by a fixed-interval schedule of electric shock presentation. Science 157: 215.</w:t>
      </w:r>
    </w:p>
    <w:p>
      <w:pPr>
        <w:pStyle w:val="style0"/>
        <w:spacing w:after="0" w:before="0" w:line="100" w:lineRule="atLeast"/>
        <w:ind w:hanging="720" w:left="720" w:right="0"/>
        <w:jc w:val="both"/>
      </w:pPr>
      <w:bookmarkStart w:id="36" w:name="_ENREF_26"/>
      <w:bookmarkEnd w:id="36"/>
      <w:r>
        <w:rPr>
          <w:rFonts w:cs="Calibri"/>
          <w:color w:val="000000"/>
          <w:lang w:val="en-US"/>
        </w:rPr>
        <w:t>26. Melvin KB, Anson JE (1969) Facilitative effects of punishment on aggressive behavior in the Siamese fighting fish. Psychonomic Science.</w:t>
      </w:r>
    </w:p>
    <w:p>
      <w:pPr>
        <w:pStyle w:val="style0"/>
        <w:spacing w:after="0" w:before="0" w:line="100" w:lineRule="atLeast"/>
        <w:ind w:hanging="720" w:left="720" w:right="0"/>
        <w:jc w:val="both"/>
      </w:pPr>
      <w:bookmarkStart w:id="37" w:name="_ENREF_27"/>
      <w:bookmarkEnd w:id="37"/>
      <w:r>
        <w:rPr>
          <w:rFonts w:cs="Calibri"/>
          <w:color w:val="000000"/>
          <w:lang w:val="en-US"/>
        </w:rPr>
        <w:t>27. Dayan P, Niv Y, Seymour B, D Daw N (2006) The misbehavior of value and the discipline of the will. Neural Networks 19: 1153-1160.</w:t>
      </w:r>
    </w:p>
    <w:p>
      <w:pPr>
        <w:pStyle w:val="style0"/>
        <w:spacing w:after="0" w:before="0" w:line="100" w:lineRule="atLeast"/>
        <w:ind w:hanging="720" w:left="720" w:right="0"/>
        <w:jc w:val="both"/>
      </w:pPr>
      <w:bookmarkStart w:id="38" w:name="_ENREF_28"/>
      <w:bookmarkEnd w:id="38"/>
      <w:r>
        <w:rPr>
          <w:rFonts w:cs="Calibri"/>
          <w:color w:val="000000"/>
          <w:lang w:val="en-US"/>
        </w:rPr>
        <w:t>28. Breland K, Breland M (1961) The misbehavior of organisms. American Psychologist 16: 681.</w:t>
      </w:r>
    </w:p>
    <w:p>
      <w:pPr>
        <w:pStyle w:val="style0"/>
        <w:spacing w:after="0" w:before="0" w:line="100" w:lineRule="atLeast"/>
        <w:ind w:hanging="720" w:left="720" w:right="0"/>
        <w:jc w:val="both"/>
      </w:pPr>
      <w:bookmarkStart w:id="39" w:name="_ENREF_29"/>
      <w:bookmarkEnd w:id="39"/>
      <w:r>
        <w:rPr>
          <w:rFonts w:cs="Calibri"/>
          <w:color w:val="000000"/>
          <w:lang w:val="en-US"/>
        </w:rPr>
        <w:t>29. Rosenthal RL, Matthews TJ (1978) The effects of prefeeding in autoshaping and omission training. Bulletin of the Psychonomic Society.</w:t>
      </w:r>
    </w:p>
    <w:p>
      <w:pPr>
        <w:pStyle w:val="style0"/>
        <w:spacing w:after="0" w:before="0" w:line="100" w:lineRule="atLeast"/>
        <w:ind w:hanging="720" w:left="720" w:right="0"/>
        <w:jc w:val="both"/>
      </w:pPr>
      <w:bookmarkStart w:id="40" w:name="_ENREF_30"/>
      <w:bookmarkEnd w:id="40"/>
      <w:r>
        <w:rPr>
          <w:rFonts w:cs="Calibri"/>
          <w:color w:val="000000"/>
          <w:lang w:val="en-US"/>
        </w:rPr>
        <w:t>30. McNaughton N, Corr PJ (2004) A two-dimensional neuropsychology of defense: fear/anxiety and defensive distance. Neuroscience &amp; Biobehavioral Reviews 28: 285-305.</w:t>
      </w:r>
    </w:p>
    <w:p>
      <w:pPr>
        <w:pStyle w:val="style0"/>
        <w:spacing w:after="0" w:before="0" w:line="100" w:lineRule="atLeast"/>
        <w:ind w:hanging="720" w:left="720" w:right="0"/>
        <w:jc w:val="both"/>
      </w:pPr>
      <w:bookmarkStart w:id="41" w:name="_ENREF_31"/>
      <w:bookmarkEnd w:id="41"/>
      <w:r>
        <w:rPr>
          <w:rFonts w:cs="Calibri"/>
          <w:color w:val="000000"/>
          <w:lang w:val="en-US"/>
        </w:rPr>
        <w:t>31. Phillips R, LeDoux J (1992) Differential contribution of amygdala and hippocampus to cued and contextual fear conditioning. Behav Neurosci 106: 274-285.</w:t>
      </w:r>
    </w:p>
    <w:p>
      <w:pPr>
        <w:pStyle w:val="style0"/>
        <w:spacing w:after="0" w:before="0" w:line="100" w:lineRule="atLeast"/>
        <w:ind w:hanging="720" w:left="720" w:right="0"/>
        <w:jc w:val="both"/>
      </w:pPr>
      <w:bookmarkStart w:id="42" w:name="_ENREF_32"/>
      <w:bookmarkEnd w:id="42"/>
      <w:r>
        <w:rPr>
          <w:rFonts w:cs="Calibri"/>
          <w:color w:val="000000"/>
          <w:lang w:val="en-US"/>
        </w:rPr>
        <w:t>32. Heinrichs M, Baumgartner T, Kirschbaum C, Ehlert U (2003) Social support and oxytocin interact to suppress cortisol and subjective responses to psychosocial stress. interactions 54: 1389-1398.</w:t>
      </w:r>
    </w:p>
    <w:p>
      <w:pPr>
        <w:pStyle w:val="style0"/>
        <w:spacing w:after="0" w:before="0" w:line="100" w:lineRule="atLeast"/>
        <w:ind w:hanging="720" w:left="720" w:right="0"/>
        <w:jc w:val="both"/>
      </w:pPr>
      <w:bookmarkStart w:id="43" w:name="_ENREF_33"/>
      <w:bookmarkEnd w:id="43"/>
      <w:r>
        <w:rPr>
          <w:rFonts w:cs="Calibri"/>
          <w:color w:val="000000"/>
          <w:lang w:val="en-US"/>
        </w:rPr>
        <w:t>33. Sapolsky RM (2005) The influence of social hierarchy on primate health. Science 308: 648.</w:t>
      </w:r>
    </w:p>
    <w:p>
      <w:pPr>
        <w:pStyle w:val="style0"/>
        <w:spacing w:line="100" w:lineRule="atLeast"/>
        <w:ind w:hanging="720" w:left="720" w:right="0"/>
        <w:jc w:val="both"/>
      </w:pPr>
      <w:bookmarkStart w:id="44" w:name="_ENREF_34"/>
      <w:bookmarkEnd w:id="44"/>
      <w:r>
        <w:rPr>
          <w:rFonts w:cs="Calibri"/>
          <w:color w:val="000000"/>
          <w:lang w:val="en-US"/>
        </w:rPr>
        <w:t>34. Price JL (2005) Free will versus survival: brain systems that underlie intrinsic constraints on behavior. The Journal of comparative neurology 493: 132-139.</w:t>
      </w:r>
    </w:p>
    <w:p>
      <w:pPr>
        <w:pStyle w:val="style0"/>
        <w:spacing w:line="100" w:lineRule="atLeast"/>
        <w:jc w:val="both"/>
      </w:pPr>
      <w:r>
        <w:rPr>
          <w:rFonts w:cs="Calibri"/>
          <w:color w:val="000000"/>
          <w:lang w:val="en-US"/>
        </w:rPr>
      </w:r>
    </w:p>
    <w:p>
      <w:pPr>
        <w:pStyle w:val="style0"/>
        <w:spacing w:line="360" w:lineRule="auto"/>
        <w:jc w:val="both"/>
      </w:pPr>
      <w:r>
        <w:rPr>
          <w:rFonts w:cs="Calibri"/>
          <w:color w:val="000000"/>
          <w:lang w:val="en-US"/>
        </w:rPr>
      </w:r>
    </w:p>
    <w:p>
      <w:pPr>
        <w:pStyle w:val="style0"/>
        <w:spacing w:line="360" w:lineRule="auto"/>
        <w:jc w:val="both"/>
      </w:pPr>
      <w:r>
        <w:rPr>
          <w:rFonts w:cs="Calibri"/>
          <w:color w:val="000000"/>
          <w:lang w:val="en-US"/>
        </w:rPr>
      </w:r>
    </w:p>
    <w:p>
      <w:pPr>
        <w:pStyle w:val="style0"/>
        <w:spacing w:line="360" w:lineRule="auto"/>
        <w:jc w:val="both"/>
      </w:pPr>
      <w:r>
        <w:rPr>
          <w:rFonts w:cs="Calibri"/>
          <w:color w:val="000000"/>
          <w:lang w:val="en-US"/>
        </w:rPr>
      </w:r>
    </w:p>
    <w:p>
      <w:pPr>
        <w:pStyle w:val="style0"/>
        <w:spacing w:line="360" w:lineRule="auto"/>
        <w:jc w:val="both"/>
      </w:pPr>
      <w:r>
        <w:rPr>
          <w:rFonts w:cs="Calibri"/>
          <w:color w:val="000000"/>
          <w:lang w:val="en-US"/>
        </w:rPr>
      </w:r>
    </w:p>
    <w:p>
      <w:pPr>
        <w:pStyle w:val="style0"/>
        <w:spacing w:line="360" w:lineRule="auto"/>
        <w:jc w:val="both"/>
      </w:pPr>
      <w:r>
        <w:rPr>
          <w:rFonts w:cs="Calibri"/>
          <w:color w:val="000000"/>
          <w:lang w:val="en-US"/>
        </w:rPr>
      </w:r>
    </w:p>
    <w:p>
      <w:pPr>
        <w:pStyle w:val="style0"/>
        <w:spacing w:line="360" w:lineRule="auto"/>
        <w:jc w:val="both"/>
      </w:pPr>
      <w:r>
        <w:rPr>
          <w:rFonts w:cs="Calibri"/>
          <w:color w:val="000000"/>
          <w:lang w:val="en-US"/>
        </w:rPr>
      </w:r>
    </w:p>
    <w:p>
      <w:pPr>
        <w:pStyle w:val="style0"/>
        <w:spacing w:line="360" w:lineRule="auto"/>
        <w:jc w:val="both"/>
      </w:pPr>
      <w:r>
        <w:rPr>
          <w:rFonts w:cs="Calibri"/>
          <w:color w:val="000000"/>
          <w:lang w:val="en-US"/>
        </w:rPr>
      </w:r>
    </w:p>
    <w:p>
      <w:pPr>
        <w:pStyle w:val="style0"/>
        <w:spacing w:line="360" w:lineRule="auto"/>
        <w:jc w:val="both"/>
      </w:pPr>
      <w:r>
        <w:rPr>
          <w:rFonts w:cs="Calibri"/>
          <w:color w:val="000000"/>
          <w:lang w:val="en-US"/>
        </w:rPr>
      </w:r>
    </w:p>
    <w:p>
      <w:pPr>
        <w:pStyle w:val="style0"/>
        <w:spacing w:line="360" w:lineRule="auto"/>
        <w:jc w:val="both"/>
      </w:pPr>
      <w:r>
        <w:rPr>
          <w:rFonts w:cs="Calibri"/>
          <w:color w:val="000000"/>
          <w:lang w:val="en-US"/>
        </w:rPr>
      </w:r>
    </w:p>
    <w:p>
      <w:pPr>
        <w:pStyle w:val="style0"/>
        <w:spacing w:line="360" w:lineRule="auto"/>
        <w:jc w:val="center"/>
      </w:pPr>
      <w:r>
        <w:rPr>
          <w:rFonts w:cs="Calibri"/>
          <w:b/>
          <w:color w:val="000000"/>
          <w:sz w:val="96"/>
          <w:szCs w:val="96"/>
          <w:lang w:val="en-US"/>
        </w:rPr>
      </w:r>
    </w:p>
    <w:p>
      <w:pPr>
        <w:pStyle w:val="style0"/>
        <w:spacing w:line="360" w:lineRule="auto"/>
        <w:jc w:val="center"/>
      </w:pPr>
      <w:r>
        <w:rPr>
          <w:rFonts w:cs="Calibri"/>
          <w:b/>
          <w:color w:val="000000"/>
          <w:sz w:val="96"/>
          <w:szCs w:val="96"/>
          <w:lang w:val="en-US"/>
        </w:rPr>
      </w:r>
    </w:p>
    <w:p>
      <w:pPr>
        <w:pStyle w:val="style0"/>
        <w:spacing w:line="360" w:lineRule="auto"/>
        <w:jc w:val="center"/>
      </w:pPr>
      <w:bookmarkStart w:id="45" w:name="_GoBack"/>
      <w:bookmarkEnd w:id="45"/>
      <w:r>
        <w:rPr/>
        <w:drawing>
          <wp:inline distB="0" distL="0" distR="0" distT="0">
            <wp:extent cx="5731510" cy="429768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5731510" cy="4297680"/>
                    </a:xfrm>
                    <a:prstGeom prst="rect">
                      <a:avLst/>
                    </a:prstGeom>
                    <a:noFill/>
                    <a:ln w="9525">
                      <a:noFill/>
                      <a:miter lim="800000"/>
                      <a:headEnd/>
                      <a:tailEnd/>
                    </a:ln>
                  </pic:spPr>
                </pic:pic>
              </a:graphicData>
            </a:graphic>
          </wp:inline>
        </w:drawing>
      </w:r>
    </w:p>
    <w:p>
      <w:pPr>
        <w:pStyle w:val="style0"/>
        <w:spacing w:line="360" w:lineRule="auto"/>
        <w:jc w:val="center"/>
      </w:pPr>
      <w:r>
        <w:rPr>
          <w:rFonts w:cs="Calibri"/>
          <w:b/>
          <w:bCs/>
          <w:color w:val="000000"/>
          <w:sz w:val="20"/>
          <w:szCs w:val="20"/>
        </w:rPr>
      </w:r>
    </w:p>
    <w:p>
      <w:pPr>
        <w:pStyle w:val="style0"/>
        <w:spacing w:line="360" w:lineRule="auto"/>
        <w:jc w:val="both"/>
      </w:pPr>
      <w:r>
        <w:rPr>
          <w:rFonts w:cs="Calibri"/>
          <w:b/>
          <w:bCs/>
          <w:color w:val="000000"/>
          <w:sz w:val="20"/>
          <w:szCs w:val="20"/>
        </w:rPr>
        <w:t>Figure 1. Preliminary evidence for defensive BSRs.</w:t>
      </w:r>
      <w:r>
        <w:rPr>
          <w:rFonts w:cs="Calibri"/>
          <w:bCs/>
          <w:color w:val="000000"/>
          <w:sz w:val="20"/>
          <w:szCs w:val="20"/>
        </w:rPr>
        <w:t xml:space="preserve"> </w:t>
      </w:r>
      <w:r>
        <w:rPr>
          <w:rFonts w:cs="Calibri"/>
          <w:color w:val="000000"/>
          <w:sz w:val="20"/>
          <w:szCs w:val="20"/>
        </w:rPr>
        <w:t xml:space="preserve">A and C depict two initial conditions for a game of ‘catch’ in which both subjects simultaneously decide whether to stay or move. A. The top, blue player is PREY: She holds a money token that will be lost if the bottom, green player catches her (ends up in the same room). Her goal is to avoid the predator in order to retain the money. Conversely the PREDATOR stands to win from catching the prey. In the condition depicted in A, prey faces a close threat. In D she faces a distal threat. B. The first bar gives the preys’ expectation about what the predator will do (GO probability), averaged over pilot subjects. The second bar gives what the predator actually does on average. This confirms that prey have accurate beliefs. The next bar in B shows the prey’s behaviour and associated financial loss. Notice that prey facing a distant predator freeze and face higher losses, despite knowing the predator will likely approach them. These data and additional analyses (not reported here) implicate BSRs. We aim to understand the biology of this effect within this paradigm. </w:t>
      </w:r>
    </w:p>
    <w:p>
      <w:pPr>
        <w:pStyle w:val="style0"/>
        <w:spacing w:line="360" w:lineRule="auto"/>
        <w:jc w:val="center"/>
      </w:pPr>
      <w:r>
        <w:rPr/>
      </w:r>
    </w:p>
    <w:sectPr>
      <w:type w:val="continuous"/>
      <w:pgSz w:h="16838" w:w="11906"/>
      <w:pgMar w:bottom="1440" w:footer="720" w:gutter="0" w:header="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r>
      <w:rPr>
        <w:rStyle w:val="style29"/>
      </w:rPr>
      <w:fldChar w:fldCharType="begin"/>
    </w:r>
    <w:r>
      <w:instrText> PAGE </w:instrText>
    </w:r>
    <w:r>
      <w:fldChar w:fldCharType="separate"/>
    </w:r>
    <w:r>
      <w:t>10</w:t>
    </w:r>
    <w:r>
      <w:fldChar w:fldCharType="end"/>
    </w:r>
    <w:pStyle w:val="style44"/>
    <w:pPr/>
  </w:p>
  <w:p>
    <w:pPr>
      <w:pStyle w:val="style44"/>
      <w:ind w:hanging="0" w:left="0" w:right="360"/>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r>
      <w:rPr>
        <w:rStyle w:val="style29"/>
      </w:rPr>
      <w:fldChar w:fldCharType="begin"/>
    </w:r>
    <w:r>
      <w:instrText> PAGE </w:instrText>
    </w:r>
    <w:r>
      <w:fldChar w:fldCharType="separate"/>
    </w:r>
    <w:r>
      <w:t>11</w:t>
    </w:r>
    <w:r>
      <w:fldChar w:fldCharType="end"/>
    </w:r>
    <w:pStyle w:val="style44"/>
    <w:pPr/>
  </w:p>
  <w:p>
    <w:pPr>
      <w:pStyle w:val="style44"/>
      <w:ind w:hanging="0" w:left="0" w:right="360"/>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r>
      <w:rPr>
        <w:rStyle w:val="style29"/>
      </w:rPr>
      <w:fldChar w:fldCharType="begin"/>
    </w:r>
    <w:r>
      <w:instrText> PAGE </w:instrText>
    </w:r>
    <w:r>
      <w:fldChar w:fldCharType="separate"/>
    </w:r>
    <w:r>
      <w:t>10</w:t>
    </w:r>
    <w:r>
      <w:fldChar w:fldCharType="end"/>
    </w:r>
    <w:pStyle w:val="style44"/>
    <w:pPr/>
  </w:p>
  <w:p>
    <w:pPr>
      <w:pStyle w:val="style44"/>
      <w:ind w:hanging="0" w:left="0" w:right="360"/>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r>
      <w:rPr>
        <w:rStyle w:val="style29"/>
      </w:rPr>
      <w:fldChar w:fldCharType="begin"/>
    </w:r>
    <w:r>
      <w:instrText> PAGE </w:instrText>
    </w:r>
    <w:r>
      <w:fldChar w:fldCharType="separate"/>
    </w:r>
    <w:r>
      <w:t>11</w:t>
    </w:r>
    <w:r>
      <w:fldChar w:fldCharType="end"/>
    </w:r>
    <w:pStyle w:val="style44"/>
    <w:pPr/>
  </w:p>
  <w:p>
    <w:pPr>
      <w:pStyle w:val="style44"/>
      <w:ind w:hanging="0" w:left="0" w:right="360"/>
    </w:pPr>
    <w:r>
      <w:rPr/>
    </w:r>
  </w:p>
</w:ft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evenAndOddHeaders/>
</w:setting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Calibri" w:eastAsia="WenQuanYi Micro Hei" w:hAnsi="Calibri"/>
      <w:color w:val="auto"/>
      <w:sz w:val="22"/>
      <w:szCs w:val="22"/>
      <w:lang w:bidi="ar-SA" w:eastAsia="en-US" w:val="en-GB"/>
    </w:rPr>
  </w:style>
  <w:style w:styleId="style1" w:type="paragraph">
    <w:name w:val="Heading 1"/>
    <w:basedOn w:val="style0"/>
    <w:next w:val="style35"/>
    <w:pPr>
      <w:keepNext/>
      <w:keepLines/>
      <w:spacing w:after="100" w:before="600"/>
    </w:pPr>
    <w:rPr>
      <w:rFonts w:cs=""/>
      <w:b/>
      <w:bCs/>
      <w:sz w:val="28"/>
      <w:szCs w:val="28"/>
    </w:rPr>
  </w:style>
  <w:style w:styleId="style2" w:type="paragraph">
    <w:name w:val="Heading 2"/>
    <w:basedOn w:val="style0"/>
    <w:next w:val="style35"/>
    <w:pPr>
      <w:keepNext/>
      <w:keepLines/>
      <w:numPr>
        <w:ilvl w:val="1"/>
        <w:numId w:val="1"/>
      </w:numPr>
      <w:spacing w:after="60" w:before="200"/>
      <w:outlineLvl w:val="1"/>
    </w:pPr>
    <w:rPr>
      <w:rFonts w:cs=""/>
      <w:b/>
      <w:bCs/>
      <w:sz w:val="24"/>
      <w:szCs w:val="26"/>
    </w:rPr>
  </w:style>
  <w:style w:styleId="style3" w:type="paragraph">
    <w:name w:val="Heading 3"/>
    <w:basedOn w:val="style0"/>
    <w:next w:val="style35"/>
    <w:pPr>
      <w:keepNext/>
      <w:keepLines/>
      <w:numPr>
        <w:ilvl w:val="2"/>
        <w:numId w:val="1"/>
      </w:numPr>
      <w:spacing w:after="60" w:before="200"/>
      <w:outlineLvl w:val="2"/>
    </w:pPr>
    <w:rPr>
      <w:rFonts w:cs=""/>
      <w:b/>
      <w:bCs/>
    </w:rPr>
  </w:style>
  <w:style w:styleId="style15" w:type="character">
    <w:name w:val="Default Paragraph Font"/>
    <w:next w:val="style15"/>
    <w:rPr/>
  </w:style>
  <w:style w:styleId="style16" w:type="character">
    <w:name w:val="Heading 1 Char"/>
    <w:basedOn w:val="style15"/>
    <w:next w:val="style16"/>
    <w:rPr>
      <w:rFonts w:cs=""/>
      <w:b/>
      <w:bCs/>
      <w:sz w:val="28"/>
      <w:szCs w:val="28"/>
    </w:rPr>
  </w:style>
  <w:style w:styleId="style17" w:type="character">
    <w:name w:val="Balloon Text Char"/>
    <w:basedOn w:val="style15"/>
    <w:next w:val="style17"/>
    <w:rPr>
      <w:rFonts w:ascii="Tahoma" w:cs="Tahoma" w:hAnsi="Tahoma"/>
      <w:sz w:val="16"/>
      <w:szCs w:val="16"/>
    </w:rPr>
  </w:style>
  <w:style w:styleId="style18" w:type="character">
    <w:name w:val="Internet Link"/>
    <w:basedOn w:val="style15"/>
    <w:next w:val="style18"/>
    <w:rPr>
      <w:color w:val="0000FF"/>
      <w:u w:val="single"/>
      <w:lang w:bidi="en-US" w:eastAsia="en-US" w:val="en-US"/>
    </w:rPr>
  </w:style>
  <w:style w:styleId="style19" w:type="character">
    <w:name w:val="Footnote Text Char"/>
    <w:basedOn w:val="style15"/>
    <w:next w:val="style19"/>
    <w:rPr>
      <w:sz w:val="20"/>
      <w:szCs w:val="20"/>
    </w:rPr>
  </w:style>
  <w:style w:styleId="style20" w:type="character">
    <w:name w:val="footnote reference"/>
    <w:basedOn w:val="style15"/>
    <w:next w:val="style20"/>
    <w:rPr>
      <w:vertAlign w:val="superscript"/>
    </w:rPr>
  </w:style>
  <w:style w:styleId="style21" w:type="character">
    <w:name w:val="apple-style-span"/>
    <w:basedOn w:val="style15"/>
    <w:next w:val="style21"/>
    <w:rPr/>
  </w:style>
  <w:style w:styleId="style22" w:type="character">
    <w:name w:val="apple-converted-space"/>
    <w:basedOn w:val="style15"/>
    <w:next w:val="style22"/>
    <w:rPr/>
  </w:style>
  <w:style w:styleId="style23" w:type="character">
    <w:name w:val="Header Char"/>
    <w:basedOn w:val="style15"/>
    <w:next w:val="style23"/>
    <w:rPr/>
  </w:style>
  <w:style w:styleId="style24" w:type="character">
    <w:name w:val="Footer Char"/>
    <w:basedOn w:val="style15"/>
    <w:next w:val="style24"/>
    <w:rPr/>
  </w:style>
  <w:style w:styleId="style25" w:type="character">
    <w:name w:val="Comment Text Char"/>
    <w:basedOn w:val="style15"/>
    <w:next w:val="style25"/>
    <w:rPr>
      <w:sz w:val="20"/>
      <w:szCs w:val="20"/>
    </w:rPr>
  </w:style>
  <w:style w:styleId="style26" w:type="character">
    <w:name w:val="annotation reference"/>
    <w:basedOn w:val="style15"/>
    <w:next w:val="style26"/>
    <w:rPr>
      <w:sz w:val="18"/>
      <w:szCs w:val="18"/>
    </w:rPr>
  </w:style>
  <w:style w:styleId="style27" w:type="character">
    <w:name w:val="Comment Subject Char"/>
    <w:basedOn w:val="style25"/>
    <w:next w:val="style27"/>
    <w:rPr>
      <w:b/>
      <w:bCs/>
      <w:sz w:val="20"/>
      <w:szCs w:val="20"/>
    </w:rPr>
  </w:style>
  <w:style w:styleId="style28" w:type="character">
    <w:name w:val="Heading 2 Char"/>
    <w:basedOn w:val="style15"/>
    <w:next w:val="style28"/>
    <w:rPr>
      <w:rFonts w:cs=""/>
      <w:b/>
      <w:bCs/>
      <w:sz w:val="24"/>
      <w:szCs w:val="26"/>
    </w:rPr>
  </w:style>
  <w:style w:styleId="style29" w:type="character">
    <w:name w:val="page number"/>
    <w:basedOn w:val="style15"/>
    <w:next w:val="style29"/>
    <w:rPr/>
  </w:style>
  <w:style w:styleId="style30" w:type="character">
    <w:name w:val="Heading 3 Char"/>
    <w:basedOn w:val="style15"/>
    <w:next w:val="style30"/>
    <w:rPr>
      <w:rFonts w:cs=""/>
      <w:b/>
      <w:bCs/>
    </w:rPr>
  </w:style>
  <w:style w:styleId="style31" w:type="character">
    <w:name w:val="Placeholder Text"/>
    <w:basedOn w:val="style15"/>
    <w:next w:val="style31"/>
    <w:rPr>
      <w:color w:val="808080"/>
    </w:rPr>
  </w:style>
  <w:style w:styleId="style32" w:type="character">
    <w:name w:val="ListLabel 1"/>
    <w:next w:val="style32"/>
    <w:rPr>
      <w:rFonts w:cs="Symbol"/>
    </w:rPr>
  </w:style>
  <w:style w:styleId="style33" w:type="character">
    <w:name w:val="Index Link"/>
    <w:next w:val="style33"/>
    <w:rPr/>
  </w:style>
  <w:style w:styleId="style34" w:type="paragraph">
    <w:name w:val="Heading"/>
    <w:basedOn w:val="style0"/>
    <w:next w:val="style35"/>
    <w:pPr>
      <w:keepNext/>
      <w:spacing w:after="120" w:before="240"/>
    </w:pPr>
    <w:rPr>
      <w:rFonts w:ascii="Liberation Sans" w:cs="Lohit Hindi" w:eastAsia="WenQuanYi Micro Hei" w:hAnsi="Liberation Sans"/>
      <w:sz w:val="28"/>
      <w:szCs w:val="28"/>
    </w:rPr>
  </w:style>
  <w:style w:styleId="style35" w:type="paragraph">
    <w:name w:val="Text body"/>
    <w:basedOn w:val="style0"/>
    <w:next w:val="style35"/>
    <w:pPr>
      <w:spacing w:after="120" w:before="0"/>
    </w:pPr>
    <w:rPr/>
  </w:style>
  <w:style w:styleId="style36" w:type="paragraph">
    <w:name w:val="List"/>
    <w:basedOn w:val="style35"/>
    <w:next w:val="style36"/>
    <w:pPr/>
    <w:rPr>
      <w:rFonts w:cs="Lohit Hindi"/>
    </w:rPr>
  </w:style>
  <w:style w:styleId="style37" w:type="paragraph">
    <w:name w:val="Caption"/>
    <w:basedOn w:val="style0"/>
    <w:next w:val="style37"/>
    <w:pPr>
      <w:suppressLineNumbers/>
      <w:spacing w:after="120" w:before="120"/>
    </w:pPr>
    <w:rPr>
      <w:rFonts w:cs="Lohit Hindi"/>
      <w:i/>
      <w:iCs/>
      <w:sz w:val="24"/>
      <w:szCs w:val="24"/>
    </w:rPr>
  </w:style>
  <w:style w:styleId="style38" w:type="paragraph">
    <w:name w:val="Index"/>
    <w:basedOn w:val="style0"/>
    <w:next w:val="style38"/>
    <w:pPr>
      <w:suppressLineNumbers/>
    </w:pPr>
    <w:rPr>
      <w:rFonts w:cs="Lohit Hindi"/>
    </w:rPr>
  </w:style>
  <w:style w:styleId="style39" w:type="paragraph">
    <w:name w:val="List Paragraph"/>
    <w:basedOn w:val="style0"/>
    <w:next w:val="style39"/>
    <w:pPr>
      <w:ind w:hanging="0" w:left="720" w:right="0"/>
    </w:pPr>
    <w:rPr/>
  </w:style>
  <w:style w:styleId="style40" w:type="paragraph">
    <w:name w:val="Normal (Web)"/>
    <w:basedOn w:val="style0"/>
    <w:next w:val="style40"/>
    <w:pPr>
      <w:spacing w:after="28" w:before="28" w:line="100" w:lineRule="atLeast"/>
    </w:pPr>
    <w:rPr>
      <w:rFonts w:ascii="Times New Roman" w:cs="Times New Roman" w:eastAsia="Times New Roman" w:hAnsi="Times New Roman"/>
      <w:sz w:val="24"/>
      <w:szCs w:val="24"/>
      <w:lang w:eastAsia="en-GB"/>
    </w:rPr>
  </w:style>
  <w:style w:styleId="style41" w:type="paragraph">
    <w:name w:val="Balloon Text"/>
    <w:basedOn w:val="style0"/>
    <w:next w:val="style41"/>
    <w:pPr>
      <w:spacing w:after="0" w:before="0" w:line="100" w:lineRule="atLeast"/>
    </w:pPr>
    <w:rPr>
      <w:rFonts w:ascii="Tahoma" w:cs="Tahoma" w:hAnsi="Tahoma"/>
      <w:sz w:val="16"/>
      <w:szCs w:val="16"/>
    </w:rPr>
  </w:style>
  <w:style w:styleId="style42" w:type="paragraph">
    <w:name w:val="footnote text"/>
    <w:basedOn w:val="style0"/>
    <w:next w:val="style42"/>
    <w:pPr>
      <w:spacing w:after="0" w:before="0" w:line="100" w:lineRule="atLeast"/>
    </w:pPr>
    <w:rPr>
      <w:sz w:val="20"/>
      <w:szCs w:val="20"/>
    </w:rPr>
  </w:style>
  <w:style w:styleId="style43" w:type="paragraph">
    <w:name w:val="Header"/>
    <w:basedOn w:val="style0"/>
    <w:next w:val="style43"/>
    <w:pPr>
      <w:suppressLineNumbers/>
      <w:tabs>
        <w:tab w:leader="none" w:pos="4513" w:val="center"/>
        <w:tab w:leader="none" w:pos="9026" w:val="right"/>
      </w:tabs>
      <w:spacing w:after="0" w:before="0" w:line="100" w:lineRule="atLeast"/>
    </w:pPr>
    <w:rPr/>
  </w:style>
  <w:style w:styleId="style44" w:type="paragraph">
    <w:name w:val="Footer"/>
    <w:basedOn w:val="style0"/>
    <w:next w:val="style44"/>
    <w:pPr>
      <w:suppressLineNumbers/>
      <w:tabs>
        <w:tab w:leader="none" w:pos="4513" w:val="center"/>
        <w:tab w:leader="none" w:pos="9026" w:val="right"/>
      </w:tabs>
      <w:spacing w:after="0" w:before="0" w:line="100" w:lineRule="atLeast"/>
    </w:pPr>
    <w:rPr/>
  </w:style>
  <w:style w:styleId="style45" w:type="paragraph">
    <w:name w:val="annotation text"/>
    <w:basedOn w:val="style0"/>
    <w:next w:val="style45"/>
    <w:pPr>
      <w:spacing w:line="100" w:lineRule="atLeast"/>
    </w:pPr>
    <w:rPr>
      <w:sz w:val="20"/>
      <w:szCs w:val="20"/>
    </w:rPr>
  </w:style>
  <w:style w:styleId="style46" w:type="paragraph">
    <w:name w:val="annotation subject"/>
    <w:basedOn w:val="style45"/>
    <w:next w:val="style46"/>
    <w:pPr/>
    <w:rPr>
      <w:b/>
      <w:bCs/>
    </w:rPr>
  </w:style>
  <w:style w:styleId="style47" w:type="paragraph">
    <w:name w:val="Contents Heading"/>
    <w:basedOn w:val="style1"/>
    <w:next w:val="style47"/>
    <w:pPr>
      <w:suppressLineNumbers/>
      <w:spacing w:after="0" w:before="480"/>
    </w:pPr>
    <w:rPr>
      <w:rFonts w:ascii="Cambria" w:hAnsi="Cambria"/>
      <w:b/>
      <w:bCs/>
      <w:color w:val="365F91"/>
      <w:sz w:val="32"/>
      <w:szCs w:val="32"/>
      <w:lang w:val="en-US"/>
    </w:rPr>
  </w:style>
  <w:style w:styleId="style48" w:type="paragraph">
    <w:name w:val="Contents 1"/>
    <w:basedOn w:val="style0"/>
    <w:next w:val="style48"/>
    <w:pPr>
      <w:tabs>
        <w:tab w:leader="dot" w:pos="9638" w:val="right"/>
      </w:tabs>
      <w:spacing w:after="0" w:before="120"/>
      <w:ind w:hanging="0" w:left="0" w:right="0"/>
    </w:pPr>
    <w:rPr>
      <w:b/>
      <w:sz w:val="24"/>
      <w:szCs w:val="24"/>
    </w:rPr>
  </w:style>
  <w:style w:styleId="style49" w:type="paragraph">
    <w:name w:val="Contents 2"/>
    <w:basedOn w:val="style0"/>
    <w:next w:val="style49"/>
    <w:pPr>
      <w:tabs>
        <w:tab w:leader="dot" w:pos="9575" w:val="right"/>
      </w:tabs>
      <w:spacing w:after="0" w:before="0"/>
      <w:ind w:hanging="0" w:left="220" w:right="0"/>
    </w:pPr>
    <w:rPr>
      <w:b/>
    </w:rPr>
  </w:style>
  <w:style w:styleId="style50" w:type="paragraph">
    <w:name w:val="Contents 3"/>
    <w:basedOn w:val="style0"/>
    <w:next w:val="style50"/>
    <w:pPr>
      <w:tabs>
        <w:tab w:leader="dot" w:pos="9512" w:val="right"/>
      </w:tabs>
      <w:spacing w:after="0" w:before="0"/>
      <w:ind w:hanging="0" w:left="440" w:right="0"/>
    </w:pPr>
    <w:rPr/>
  </w:style>
  <w:style w:styleId="style51" w:type="paragraph">
    <w:name w:val="Contents 4"/>
    <w:basedOn w:val="style0"/>
    <w:next w:val="style51"/>
    <w:pPr>
      <w:tabs>
        <w:tab w:leader="dot" w:pos="9449" w:val="right"/>
      </w:tabs>
      <w:spacing w:after="0" w:before="0"/>
      <w:ind w:hanging="0" w:left="660" w:right="0"/>
    </w:pPr>
    <w:rPr>
      <w:sz w:val="20"/>
      <w:szCs w:val="20"/>
    </w:rPr>
  </w:style>
  <w:style w:styleId="style52" w:type="paragraph">
    <w:name w:val="Contents 5"/>
    <w:basedOn w:val="style0"/>
    <w:next w:val="style52"/>
    <w:pPr>
      <w:tabs>
        <w:tab w:leader="dot" w:pos="9386" w:val="right"/>
      </w:tabs>
      <w:spacing w:after="0" w:before="0"/>
      <w:ind w:hanging="0" w:left="880" w:right="0"/>
    </w:pPr>
    <w:rPr>
      <w:sz w:val="20"/>
      <w:szCs w:val="20"/>
    </w:rPr>
  </w:style>
  <w:style w:styleId="style53" w:type="paragraph">
    <w:name w:val="Contents 6"/>
    <w:basedOn w:val="style0"/>
    <w:next w:val="style53"/>
    <w:pPr>
      <w:tabs>
        <w:tab w:leader="dot" w:pos="9323" w:val="right"/>
      </w:tabs>
      <w:spacing w:after="0" w:before="0"/>
      <w:ind w:hanging="0" w:left="1100" w:right="0"/>
    </w:pPr>
    <w:rPr>
      <w:sz w:val="20"/>
      <w:szCs w:val="20"/>
    </w:rPr>
  </w:style>
  <w:style w:styleId="style54" w:type="paragraph">
    <w:name w:val="Contents 7"/>
    <w:basedOn w:val="style0"/>
    <w:next w:val="style54"/>
    <w:pPr>
      <w:tabs>
        <w:tab w:leader="dot" w:pos="9260" w:val="right"/>
      </w:tabs>
      <w:spacing w:after="0" w:before="0"/>
      <w:ind w:hanging="0" w:left="1320" w:right="0"/>
    </w:pPr>
    <w:rPr>
      <w:sz w:val="20"/>
      <w:szCs w:val="20"/>
    </w:rPr>
  </w:style>
  <w:style w:styleId="style55" w:type="paragraph">
    <w:name w:val="Contents 8"/>
    <w:basedOn w:val="style0"/>
    <w:next w:val="style55"/>
    <w:pPr>
      <w:tabs>
        <w:tab w:leader="dot" w:pos="9197" w:val="right"/>
      </w:tabs>
      <w:spacing w:after="0" w:before="0"/>
      <w:ind w:hanging="0" w:left="1540" w:right="0"/>
    </w:pPr>
    <w:rPr>
      <w:sz w:val="20"/>
      <w:szCs w:val="20"/>
    </w:rPr>
  </w:style>
  <w:style w:styleId="style56" w:type="paragraph">
    <w:name w:val="Contents 9"/>
    <w:basedOn w:val="style0"/>
    <w:next w:val="style56"/>
    <w:pPr>
      <w:tabs>
        <w:tab w:leader="dot" w:pos="9134" w:val="right"/>
      </w:tabs>
      <w:spacing w:after="0" w:before="0"/>
      <w:ind w:hanging="0" w:left="1760" w:right="0"/>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er" Target="footer4.xml"/><Relationship Id="rId6" Type="http://schemas.openxmlformats.org/officeDocument/2006/relationships/image" Target="media/image1.tiff"/><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2013-02-01T10:15:00.00Z</dcterms:created>
  <dc:creator>JC</dc:creator>
  <cp:lastModifiedBy>Department of Economics</cp:lastModifiedBy>
  <cp:lastPrinted>2014-01-31T12:56:00.00Z</cp:lastPrinted>
  <dcterms:modified xsi:type="dcterms:W3CDTF">2014-01-31T12:57:00.00Z</dcterms:modified>
  <cp:revision>589</cp:revision>
</cp:coreProperties>
</file>