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0.1-19 不合格识别管理 CCPG/B-0.1-A-019</w:t>
      </w:r>
      <w:r>
        <w:rPr>
          <w:rFonts w:eastAsia="等线" w:ascii="Arial" w:cs="Arial" w:hAnsi="Arial"/>
          <w:b w:val="true"/>
          <w:sz w:val="52"/>
        </w:rPr>
        <w:t xml:space="preserve"> </w:t>
      </w:r>
      <w:r>
        <w:rPr>
          <w:rFonts w:eastAsia="等线" w:ascii="Arial" w:cs="Arial" w:hAnsi="Arial"/>
          <w:b w:val="true"/>
          <w:sz w:val="52"/>
        </w:rPr>
        <w:t>F/</w:t>
      </w:r>
      <w:r>
        <w:rPr>
          <w:rFonts w:eastAsia="等线" w:ascii="Arial" w:cs="Arial" w:hAnsi="Arial"/>
          <w:b w:val="true"/>
          <w:sz w:val="52"/>
        </w:rPr>
        <w:t>1</w:t>
      </w:r>
      <w:r>
        <w:rPr>
          <w:rFonts w:eastAsia="等线" w:ascii="Arial" w:cs="Arial" w:hAnsi="Arial"/>
          <w:b w:val="true"/>
          <w:sz w:val="52"/>
        </w:rPr>
        <w:t>-审批版</w:t>
      </w:r>
    </w:p>
    <w:p>
      <w:pPr>
        <w:spacing w:before="120" w:after="120" w:line="288" w:lineRule="auto"/>
        <w:ind w:left="0"/>
        <w:jc w:val="left"/>
      </w:pPr>
      <w:r>
        <w:rPr>
          <w:rFonts w:eastAsia="等线" w:ascii="Arial" w:cs="Arial" w:hAnsi="Arial"/>
          <w:i w:val="true"/>
          <w:color w:val="646a73"/>
          <w:sz w:val="22"/>
        </w:rPr>
        <w:t>该文档相关审批单：</w:t>
      </w:r>
      <w:hyperlink r:id="rId4">
        <w:r>
          <w:rPr>
            <w:rFonts w:eastAsia="等线" w:ascii="Arial" w:cs="Arial" w:hAnsi="Arial"/>
            <w:i w:val="true"/>
            <w:color w:val="3370ff"/>
            <w:sz w:val="22"/>
          </w:rPr>
          <w:t>云文档转化权限移交流程</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🏷文控信息卡</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2700"/>
        <w:gridCol w:w="570"/>
        <w:gridCol w:w="570"/>
        <w:gridCol w:w="321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文件名称</w:t>
            </w:r>
          </w:p>
        </w:tc>
        <w:tc>
          <w:tcPr>
            <w:tcW w:w="7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不合格识别管理</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CCPG/B-0.1-A-019</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实施日期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2024-08-01</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版本/改次</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F/1</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文件有效期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长期有效</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组织层级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集团</w:t>
            </w:r>
          </w:p>
        </w:tc>
        <w:tc>
          <w:tcPr>
            <w:tcW w:w="5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w:t>
            </w:r>
          </w:p>
          <w:p>
            <w:pPr>
              <w:spacing w:before="120" w:after="120" w:line="288" w:lineRule="auto"/>
              <w:ind w:left="0"/>
              <w:jc w:val="center"/>
            </w:pPr>
            <w:r>
              <w:rPr>
                <w:rFonts w:eastAsia="等线" w:ascii="Arial" w:cs="Arial" w:hAnsi="Arial"/>
                <w:b w:val="true"/>
                <w:sz w:val="22"/>
              </w:rPr>
              <w:t>程</w:t>
            </w:r>
          </w:p>
          <w:p>
            <w:pPr>
              <w:spacing w:before="120" w:after="120" w:line="288" w:lineRule="auto"/>
              <w:ind w:left="0"/>
              <w:jc w:val="center"/>
            </w:pPr>
            <w:r>
              <w:rPr>
                <w:rFonts w:eastAsia="等线" w:ascii="Arial" w:cs="Arial" w:hAnsi="Arial"/>
                <w:b w:val="true"/>
                <w:sz w:val="22"/>
              </w:rPr>
              <w:t>架</w:t>
            </w:r>
          </w:p>
          <w:p>
            <w:pPr>
              <w:spacing w:before="120" w:after="120" w:line="288" w:lineRule="auto"/>
              <w:ind w:left="0"/>
              <w:jc w:val="center"/>
            </w:pPr>
            <w:r>
              <w:rPr>
                <w:rFonts w:eastAsia="等线" w:ascii="Arial" w:cs="Arial" w:hAnsi="Arial"/>
                <w:b w:val="true"/>
                <w:sz w:val="22"/>
              </w:rPr>
              <w:t>构</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L1级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 运营体系管理</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管理纲要</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编写/修订人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@林霞</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编写/修订部门</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PJEC办公室</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L4级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批准人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PJEC</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L5级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修订记录</w:t>
            </w:r>
          </w:p>
        </w:tc>
        <w:tc>
          <w:tcPr>
            <w:tcW w:w="7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2024年7月31日：“增加2.1 不合格定义”“3体系文件未明确事项处理”“5、不合格管理”条款，删去条款“支持性工具”条款，修订“2.2 不合格等级判定”。</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*本体系文件已正式发布在长城物业知识库</w:t>
            </w:r>
            <w:hyperlink r:id="rId5">
              <w:r>
                <w:rPr>
                  <w:rFonts w:eastAsia="等线" w:ascii="Arial" w:cs="Arial" w:hAnsi="Arial"/>
                  <w:color w:val="3370ff"/>
                  <w:sz w:val="22"/>
                  <w:u w:val="single"/>
                </w:rPr>
                <w:t>长城物业运营体系管理文件</w:t>
              </w:r>
            </w:hyperlink>
          </w:p>
        </w:tc>
        <w:tc>
          <w:tcPr>
            <w:tcW w:w="270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目的</w:t>
      </w:r>
      <w:bookmarkEnd w:id="0"/>
    </w:p>
    <w:p>
      <w:pPr>
        <w:spacing w:before="120" w:after="120" w:line="288" w:lineRule="auto"/>
        <w:ind w:left="0" w:firstLine="0"/>
        <w:jc w:val="left"/>
      </w:pPr>
      <w:r>
        <w:rPr>
          <w:rFonts w:eastAsia="等线" w:ascii="Arial" w:cs="Arial" w:hAnsi="Arial"/>
          <w:sz w:val="22"/>
        </w:rPr>
        <w:t>通过规范体系遵从程度的衡量标准，让体系遵从评价有据可依，促进公司运营体系有效运行和持续改进。</w:t>
      </w:r>
    </w:p>
    <w:p>
      <w:pPr>
        <w:pStyle w:val="1"/>
        <w:spacing w:before="380" w:after="140" w:line="288" w:lineRule="auto"/>
        <w:ind w:left="0"/>
        <w:jc w:val="left"/>
        <w:outlineLvl w:val="0"/>
      </w:pPr>
      <w:bookmarkStart w:name="heading_1" w:id="1"/>
      <w:r>
        <w:rPr>
          <w:rFonts w:eastAsia="等线" w:ascii="Arial" w:cs="Arial" w:hAnsi="Arial"/>
          <w:b w:val="true"/>
          <w:color w:val="245bdb"/>
          <w:sz w:val="36"/>
        </w:rPr>
        <w:t xml:space="preserve">2. </w:t>
      </w:r>
      <w:r>
        <w:rPr>
          <w:rFonts w:eastAsia="等线" w:ascii="Arial" w:cs="Arial" w:hAnsi="Arial"/>
          <w:b w:val="true"/>
          <w:sz w:val="36"/>
        </w:rPr>
        <w:t>不合格定义</w:t>
      </w:r>
      <w:bookmarkEnd w:id="1"/>
    </w:p>
    <w:p>
      <w:pPr>
        <w:spacing w:before="120" w:after="120" w:line="288" w:lineRule="auto"/>
        <w:ind w:left="0" w:firstLine="0"/>
        <w:jc w:val="left"/>
      </w:pPr>
      <w:r>
        <w:rPr>
          <w:rFonts w:eastAsia="等线" w:ascii="Arial" w:cs="Arial" w:hAnsi="Arial"/>
          <w:b w:val="true"/>
          <w:sz w:val="22"/>
        </w:rPr>
        <w:t>2.1 不合格定义</w:t>
      </w:r>
    </w:p>
    <w:p>
      <w:pPr>
        <w:numPr>
          <w:numId w:val="1"/>
        </w:numPr>
        <w:spacing w:before="120" w:after="120" w:line="288" w:lineRule="auto"/>
        <w:ind w:left="453"/>
        <w:jc w:val="left"/>
      </w:pPr>
      <w:r>
        <w:rPr>
          <w:rFonts w:eastAsia="等线" w:ascii="Arial" w:cs="Arial" w:hAnsi="Arial"/>
          <w:sz w:val="22"/>
        </w:rPr>
        <w:t>未符合公司发布的体系文件规定的行为。</w:t>
      </w:r>
    </w:p>
    <w:p>
      <w:pPr>
        <w:numPr>
          <w:numId w:val="2"/>
        </w:numPr>
        <w:spacing w:before="120" w:after="120" w:line="288" w:lineRule="auto"/>
        <w:ind w:left="453"/>
        <w:jc w:val="left"/>
      </w:pPr>
      <w:r>
        <w:rPr>
          <w:rFonts w:eastAsia="等线" w:ascii="Arial" w:cs="Arial" w:hAnsi="Arial"/>
          <w:sz w:val="22"/>
        </w:rPr>
        <w:t>未符合ISO9001、ISO14001、ISO45001标准和卓越服务准则要求的行为。</w:t>
      </w:r>
    </w:p>
    <w:p>
      <w:pPr>
        <w:numPr>
          <w:numId w:val="3"/>
        </w:numPr>
        <w:spacing w:before="120" w:after="120" w:line="288" w:lineRule="auto"/>
        <w:ind w:left="453"/>
        <w:jc w:val="left"/>
      </w:pPr>
      <w:r>
        <w:rPr>
          <w:rFonts w:eastAsia="等线" w:ascii="Arial" w:cs="Arial" w:hAnsi="Arial"/>
          <w:sz w:val="22"/>
        </w:rPr>
        <w:t>未符合法律法规、地方政策要求的行为。</w:t>
      </w:r>
    </w:p>
    <w:p>
      <w:pPr>
        <w:numPr>
          <w:numId w:val="4"/>
        </w:numPr>
        <w:spacing w:before="120" w:after="120" w:line="288" w:lineRule="auto"/>
        <w:ind w:left="453"/>
        <w:jc w:val="left"/>
      </w:pPr>
      <w:r>
        <w:rPr>
          <w:rFonts w:eastAsia="等线" w:ascii="Arial" w:cs="Arial" w:hAnsi="Arial"/>
          <w:sz w:val="22"/>
        </w:rPr>
        <w:t>未满足签订的服务合同中相关约定的行为。</w:t>
      </w:r>
    </w:p>
    <w:p>
      <w:pPr>
        <w:spacing w:before="120" w:after="120" w:line="288" w:lineRule="auto"/>
        <w:ind w:left="0" w:firstLine="0"/>
        <w:jc w:val="left"/>
      </w:pPr>
      <w:r>
        <w:rPr>
          <w:rFonts w:eastAsia="等线" w:ascii="Arial" w:cs="Arial" w:hAnsi="Arial"/>
          <w:b w:val="true"/>
          <w:sz w:val="22"/>
        </w:rPr>
        <w:t>2.2 不合格等级判定</w:t>
      </w:r>
    </w:p>
    <w:p>
      <w:pPr>
        <w:numPr>
          <w:numId w:val="5"/>
        </w:numPr>
        <w:spacing w:before="120" w:after="120" w:line="288" w:lineRule="auto"/>
        <w:ind w:left="453"/>
        <w:jc w:val="left"/>
      </w:pPr>
      <w:r>
        <w:rPr>
          <w:rFonts w:eastAsia="等线" w:ascii="Arial" w:cs="Arial" w:hAnsi="Arial"/>
          <w:sz w:val="22"/>
        </w:rPr>
        <w:t>不合格事项按等级分为4类，分别为轻微不合格、一般不合格、重大不合格、重复发生的不合格。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不合格类别</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定义</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轻微不合格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轻微不合格项，是下列一个或多个情况：</w:t>
            </w:r>
          </w:p>
          <w:p>
            <w:pPr>
              <w:numPr>
                <w:numId w:val="6"/>
              </w:numPr>
              <w:spacing w:before="120" w:after="120" w:line="288" w:lineRule="auto"/>
              <w:ind w:left="0"/>
              <w:jc w:val="left"/>
            </w:pPr>
            <w:r>
              <w:rPr>
                <w:rFonts w:eastAsia="等线" w:ascii="Arial" w:cs="Arial" w:hAnsi="Arial"/>
                <w:sz w:val="22"/>
              </w:rPr>
              <w:t>个别、偶然发生,对产品/服务管控无影响或基本没影响,但存在潜在影响因素的不合格工作；</w:t>
            </w:r>
          </w:p>
          <w:p>
            <w:pPr>
              <w:numPr>
                <w:numId w:val="7"/>
              </w:numPr>
              <w:spacing w:before="120" w:after="120" w:line="288" w:lineRule="auto"/>
              <w:ind w:left="0"/>
              <w:jc w:val="left"/>
            </w:pPr>
            <w:r>
              <w:rPr>
                <w:rFonts w:eastAsia="等线" w:ascii="Arial" w:cs="Arial" w:hAnsi="Arial"/>
                <w:sz w:val="22"/>
              </w:rPr>
              <w:t>对客户的体验无影响或基本没影响，但存在潜在影响因素的不合格工作；</w:t>
            </w:r>
          </w:p>
          <w:p>
            <w:pPr>
              <w:numPr>
                <w:numId w:val="8"/>
              </w:numPr>
              <w:spacing w:before="120" w:after="120" w:line="288" w:lineRule="auto"/>
              <w:ind w:left="0"/>
              <w:jc w:val="left"/>
            </w:pPr>
            <w:r>
              <w:rPr>
                <w:rFonts w:eastAsia="等线" w:ascii="Arial" w:cs="Arial" w:hAnsi="Arial"/>
                <w:sz w:val="22"/>
              </w:rPr>
              <w:t>未有明确规定，但对产品/服务管控存在潜在影响因素的不合格工作。</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一般不合格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w:t>
            </w:r>
            <w:r>
              <w:rPr>
                <w:rFonts w:eastAsia="等线" w:ascii="Arial" w:cs="Arial" w:hAnsi="Arial"/>
                <w:b w:val="true"/>
                <w:sz w:val="22"/>
              </w:rPr>
              <w:t>管理方便，把除了轻微、观察以外没达到重大不合格的标准项</w:t>
            </w:r>
            <w:r>
              <w:rPr>
                <w:rFonts w:eastAsia="等线" w:ascii="Arial" w:cs="Arial" w:hAnsi="Arial"/>
                <w:sz w:val="22"/>
              </w:rPr>
              <w:t>都列为一般不合格。</w:t>
            </w:r>
          </w:p>
          <w:p>
            <w:pPr>
              <w:spacing w:before="120" w:after="120" w:line="288" w:lineRule="auto"/>
              <w:ind w:left="0"/>
              <w:jc w:val="left"/>
            </w:pPr>
            <w:r>
              <w:rPr>
                <w:rFonts w:eastAsia="等线" w:ascii="Arial" w:cs="Arial" w:hAnsi="Arial"/>
                <w:sz w:val="22"/>
              </w:rPr>
              <w:t>其不太可能导致质量管理体系失效，或不太可能导致降低保证过程和产品/服务受控的能力，它可能是下列任一情况：</w:t>
            </w:r>
          </w:p>
          <w:p>
            <w:pPr>
              <w:numPr>
                <w:numId w:val="9"/>
              </w:numPr>
              <w:spacing w:before="120" w:after="120" w:line="288" w:lineRule="auto"/>
              <w:ind w:left="0"/>
              <w:jc w:val="left"/>
            </w:pPr>
            <w:r>
              <w:rPr>
                <w:rFonts w:eastAsia="等线" w:ascii="Arial" w:cs="Arial" w:hAnsi="Arial"/>
                <w:sz w:val="22"/>
              </w:rPr>
              <w:t>少量时候没遵守公司作业程序的某一项过失或要求，但没出现产品/服务管控失控；</w:t>
            </w:r>
          </w:p>
          <w:p>
            <w:pPr>
              <w:numPr>
                <w:numId w:val="10"/>
              </w:numPr>
              <w:spacing w:before="120" w:after="120" w:line="288" w:lineRule="auto"/>
              <w:ind w:left="0"/>
              <w:jc w:val="left"/>
            </w:pPr>
            <w:r>
              <w:rPr>
                <w:rFonts w:eastAsia="等线" w:ascii="Arial" w:cs="Arial" w:hAnsi="Arial"/>
                <w:sz w:val="22"/>
              </w:rPr>
              <w:t>组织质量管理体系中发现到某项条款的一个失效或多个轻微错误，但不可能导致质量体系失效；</w:t>
            </w:r>
          </w:p>
          <w:p>
            <w:pPr>
              <w:numPr>
                <w:numId w:val="11"/>
              </w:numPr>
              <w:spacing w:before="120" w:after="120" w:line="288" w:lineRule="auto"/>
              <w:ind w:left="0"/>
              <w:jc w:val="left"/>
            </w:pPr>
            <w:r>
              <w:rPr>
                <w:rFonts w:eastAsia="等线" w:ascii="Arial" w:cs="Arial" w:hAnsi="Arial"/>
                <w:sz w:val="22"/>
              </w:rPr>
              <w:t>对客户的体验可能造成一般影响或者已造成部分影响，或者有发展为投诉的趋势。</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重大不合格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重大不合格项（亦称：主要不合格/主要缺失）</w:t>
            </w:r>
            <w:r>
              <w:rPr>
                <w:rFonts w:eastAsia="等线" w:ascii="Arial" w:cs="Arial" w:hAnsi="Arial"/>
                <w:sz w:val="22"/>
              </w:rPr>
              <w:t>，是下列一个或多个情况：</w:t>
            </w:r>
          </w:p>
          <w:p>
            <w:pPr>
              <w:numPr>
                <w:numId w:val="12"/>
              </w:numPr>
              <w:spacing w:before="120" w:after="120" w:line="288" w:lineRule="auto"/>
              <w:ind w:left="0"/>
              <w:jc w:val="left"/>
            </w:pPr>
            <w:r>
              <w:rPr>
                <w:rFonts w:eastAsia="等线" w:ascii="Arial" w:cs="Arial" w:hAnsi="Arial"/>
                <w:sz w:val="22"/>
              </w:rPr>
              <w:t>该体系缺项或完全不满足公司各类体系</w:t>
            </w:r>
            <w:r>
              <w:rPr>
                <w:rFonts w:eastAsia="等线" w:ascii="Arial" w:cs="Arial" w:hAnsi="Arial"/>
                <w:b w:val="true"/>
                <w:sz w:val="22"/>
              </w:rPr>
              <w:t>（如质量、环保、健康等）</w:t>
            </w:r>
            <w:r>
              <w:rPr>
                <w:rFonts w:eastAsia="等线" w:ascii="Arial" w:cs="Arial" w:hAnsi="Arial"/>
                <w:sz w:val="22"/>
              </w:rPr>
              <w:t>的要求。违背一项要求的多个不合格项可能意味着该体系的失效，因此可以被认为是重大不合格项；</w:t>
            </w:r>
          </w:p>
          <w:p>
            <w:pPr>
              <w:numPr>
                <w:numId w:val="13"/>
              </w:numPr>
              <w:spacing w:before="120" w:after="120" w:line="288" w:lineRule="auto"/>
              <w:ind w:left="0"/>
              <w:jc w:val="left"/>
            </w:pPr>
            <w:r>
              <w:rPr>
                <w:rFonts w:eastAsia="等线" w:ascii="Arial" w:cs="Arial" w:hAnsi="Arial"/>
                <w:sz w:val="22"/>
              </w:rPr>
              <w:t>任何将可能导致不合格产品/服务出现的不合格项目，其可能导致产品或服务预期的使用性能/效果失效，或严重降低的情况；</w:t>
            </w:r>
          </w:p>
          <w:p>
            <w:pPr>
              <w:numPr>
                <w:numId w:val="14"/>
              </w:numPr>
              <w:spacing w:before="120" w:after="120" w:line="288" w:lineRule="auto"/>
              <w:ind w:left="0"/>
              <w:jc w:val="left"/>
            </w:pPr>
            <w:r>
              <w:rPr>
                <w:rFonts w:eastAsia="等线" w:ascii="Arial" w:cs="Arial" w:hAnsi="Arial"/>
                <w:sz w:val="22"/>
              </w:rPr>
              <w:t>对客户的体验已造成严重影响，或者已产生投诉；</w:t>
            </w:r>
          </w:p>
          <w:p>
            <w:pPr>
              <w:numPr>
                <w:numId w:val="15"/>
              </w:numPr>
              <w:spacing w:before="120" w:after="120" w:line="288" w:lineRule="auto"/>
              <w:ind w:left="0"/>
              <w:jc w:val="left"/>
            </w:pPr>
            <w:r>
              <w:rPr>
                <w:rFonts w:eastAsia="等线" w:ascii="Arial" w:cs="Arial" w:hAnsi="Arial"/>
                <w:sz w:val="22"/>
              </w:rPr>
              <w:t>审核员根据判断和经验上显示的不合格，表明其可能导致质量管理体系失效，或导致严重降低保证对产品/服务和过程受控能力的不合格。</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重复发生的不合格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生问题的类别与属性可以在前期已关闭的问题列表中找到同类别及属性的问题，这类的问题可以列为重复发生的不合格。重复发生的问题，更多的是早期问题改善时措施不正确或落实不彻底或没平行展开，最终让问题又重新出现。这类的不合格,属于严打对象，需对不符合进行升级：</w:t>
            </w:r>
          </w:p>
          <w:p>
            <w:pPr>
              <w:spacing w:before="120" w:after="120" w:line="288" w:lineRule="auto"/>
              <w:ind w:left="0"/>
              <w:jc w:val="left"/>
            </w:pPr>
            <w:r>
              <w:rPr>
                <w:rFonts w:eastAsia="等线" w:ascii="Arial" w:cs="Arial" w:hAnsi="Arial"/>
                <w:sz w:val="22"/>
              </w:rPr>
              <w:t xml:space="preserve">轻微不符合事项的重复发生，调整其为一般不符合事项等级； </w:t>
            </w:r>
          </w:p>
          <w:p>
            <w:pPr>
              <w:spacing w:before="120" w:after="120" w:line="288" w:lineRule="auto"/>
              <w:ind w:left="0"/>
              <w:jc w:val="left"/>
            </w:pPr>
            <w:r>
              <w:rPr>
                <w:rFonts w:eastAsia="等线" w:ascii="Arial" w:cs="Arial" w:hAnsi="Arial"/>
                <w:sz w:val="22"/>
              </w:rPr>
              <w:t>一般不符合事项的重复发生，调整其为重大不符合事项等级。。</w:t>
            </w:r>
          </w:p>
          <w:p>
            <w:pPr>
              <w:spacing w:before="120" w:after="120" w:line="288" w:lineRule="auto"/>
              <w:ind w:left="0"/>
              <w:jc w:val="left"/>
            </w:pPr>
            <w:r>
              <w:rPr>
                <w:rFonts w:eastAsia="等线" w:ascii="Arial" w:cs="Arial" w:hAnsi="Arial"/>
                <w:sz w:val="22"/>
              </w:rPr>
              <w:t>重复发生的不合格项判定细则</w:t>
            </w:r>
          </w:p>
          <w:p>
            <w:pPr>
              <w:numPr>
                <w:numId w:val="16"/>
              </w:numPr>
              <w:spacing w:before="120" w:after="120" w:line="288" w:lineRule="auto"/>
              <w:ind w:left="0"/>
              <w:jc w:val="left"/>
            </w:pPr>
            <w:r>
              <w:rPr>
                <w:rFonts w:eastAsia="等线" w:ascii="Arial" w:cs="Arial" w:hAnsi="Arial"/>
                <w:sz w:val="22"/>
              </w:rPr>
              <w:t>不合格依据的文件名称和文件条款是一样的。</w:t>
            </w:r>
          </w:p>
          <w:p>
            <w:pPr>
              <w:numPr>
                <w:numId w:val="17"/>
              </w:numPr>
              <w:spacing w:before="120" w:after="120" w:line="288" w:lineRule="auto"/>
              <w:ind w:left="0"/>
              <w:jc w:val="left"/>
            </w:pPr>
            <w:r>
              <w:rPr>
                <w:rFonts w:eastAsia="等线" w:ascii="Arial" w:cs="Arial" w:hAnsi="Arial"/>
                <w:sz w:val="22"/>
              </w:rPr>
              <w:t>稽查不合格重复项追溯期最长为12个月。</w:t>
            </w:r>
          </w:p>
          <w:p>
            <w:pPr>
              <w:numPr>
                <w:numId w:val="18"/>
              </w:numPr>
              <w:spacing w:before="120" w:after="120" w:line="288" w:lineRule="auto"/>
              <w:ind w:left="0"/>
              <w:jc w:val="left"/>
            </w:pPr>
            <w:r>
              <w:rPr>
                <w:rFonts w:eastAsia="等线" w:ascii="Arial" w:cs="Arial" w:hAnsi="Arial"/>
                <w:sz w:val="22"/>
              </w:rPr>
              <w:t>稽查的不合格项之前月份已经判定为重复项并已升级的，整改期内不纳入重复项判定范围。</w:t>
            </w:r>
          </w:p>
          <w:p>
            <w:pPr>
              <w:numPr>
                <w:numId w:val="19"/>
              </w:numPr>
              <w:spacing w:before="120" w:after="120" w:line="288" w:lineRule="auto"/>
              <w:ind w:left="0"/>
              <w:jc w:val="left"/>
            </w:pPr>
            <w:r>
              <w:rPr>
                <w:rFonts w:eastAsia="等线" w:ascii="Arial" w:cs="Arial" w:hAnsi="Arial"/>
                <w:sz w:val="22"/>
              </w:rPr>
              <w:t>当月严重程度低于之前月份严重程度的不作为重复项。</w:t>
            </w:r>
          </w:p>
          <w:p>
            <w:pPr>
              <w:numPr>
                <w:numId w:val="20"/>
              </w:numPr>
              <w:spacing w:before="120" w:after="120" w:line="288" w:lineRule="auto"/>
              <w:ind w:left="0"/>
              <w:jc w:val="left"/>
            </w:pPr>
            <w:r>
              <w:rPr>
                <w:rFonts w:eastAsia="等线" w:ascii="Arial" w:cs="Arial" w:hAnsi="Arial"/>
                <w:sz w:val="22"/>
              </w:rPr>
              <w:t>升级的严重程度判定以当月的不合格事项严重程度为基准。</w:t>
            </w:r>
          </w:p>
        </w:tc>
      </w:tr>
    </w:tbl>
    <w:p>
      <w:pPr>
        <w:numPr>
          <w:numId w:val="21"/>
        </w:numPr>
        <w:spacing w:before="120" w:after="120" w:line="288" w:lineRule="auto"/>
        <w:ind w:left="0"/>
        <w:jc w:val="left"/>
      </w:pPr>
      <w:r>
        <w:rPr>
          <w:rFonts w:eastAsia="等线" w:ascii="Arial" w:cs="Arial" w:hAnsi="Arial"/>
          <w:sz w:val="22"/>
        </w:rPr>
        <w:t>观察项：发现的问题未构成不合格，但有变成不合格的趋势，或凭审核员的判断和经验未使用最佳方法。为了保证顾客的利益，应在最终的审核报告中将需改进的内容记录下来。</w:t>
      </w:r>
    </w:p>
    <w:p>
      <w:pPr>
        <w:pStyle w:val="1"/>
        <w:spacing w:before="380" w:after="140" w:line="288" w:lineRule="auto"/>
        <w:ind w:left="0"/>
        <w:jc w:val="left"/>
        <w:outlineLvl w:val="0"/>
      </w:pPr>
      <w:bookmarkStart w:name="heading_2" w:id="2"/>
      <w:r>
        <w:rPr>
          <w:rFonts w:eastAsia="等线" w:ascii="Arial" w:cs="Arial" w:hAnsi="Arial"/>
          <w:b w:val="true"/>
          <w:color w:val="245bdb"/>
          <w:sz w:val="36"/>
        </w:rPr>
        <w:t xml:space="preserve">3. </w:t>
      </w:r>
      <w:r>
        <w:rPr>
          <w:rFonts w:eastAsia="等线" w:ascii="Arial" w:cs="Arial" w:hAnsi="Arial"/>
          <w:b w:val="true"/>
          <w:sz w:val="36"/>
        </w:rPr>
        <w:t>体系文件未明确事项处理</w:t>
      </w:r>
      <w:bookmarkEnd w:id="2"/>
    </w:p>
    <w:p>
      <w:pPr>
        <w:spacing w:before="120" w:after="120" w:line="288" w:lineRule="auto"/>
        <w:ind w:left="0" w:firstLine="0"/>
        <w:jc w:val="left"/>
      </w:pPr>
      <w:r>
        <w:rPr>
          <w:rFonts w:eastAsia="等线" w:ascii="Arial" w:cs="Arial" w:hAnsi="Arial"/>
          <w:sz w:val="22"/>
        </w:rPr>
        <w:t>体系文件未有明确规定但是可能存在潜在风险的问题点，为了预防风险发生，审核员应于最终的审核报告中将风险内容记录下来。后续通过飞书任务形式要求业务部门对体系文件进行完善并要求潜在风险单位对风险进行预防。</w:t>
      </w:r>
    </w:p>
    <w:p>
      <w:pPr>
        <w:pStyle w:val="1"/>
        <w:spacing w:before="380" w:after="140" w:line="288" w:lineRule="auto"/>
        <w:ind w:left="0"/>
        <w:jc w:val="left"/>
        <w:outlineLvl w:val="0"/>
      </w:pPr>
      <w:bookmarkStart w:name="heading_3" w:id="3"/>
      <w:r>
        <w:rPr>
          <w:rFonts w:eastAsia="等线" w:ascii="Arial" w:cs="Arial" w:hAnsi="Arial"/>
          <w:b w:val="true"/>
          <w:color w:val="245bdb"/>
          <w:sz w:val="36"/>
        </w:rPr>
        <w:t xml:space="preserve">4. </w:t>
      </w:r>
      <w:r>
        <w:rPr>
          <w:rFonts w:eastAsia="等线" w:ascii="Arial" w:cs="Arial" w:hAnsi="Arial"/>
          <w:b w:val="true"/>
          <w:sz w:val="36"/>
        </w:rPr>
        <w:t>不合格事项整改要求</w:t>
      </w:r>
      <w:bookmarkEnd w:id="3"/>
    </w:p>
    <w:p>
      <w:pPr>
        <w:pStyle w:val="6"/>
        <w:spacing w:before="240" w:after="120" w:line="288" w:lineRule="auto"/>
        <w:ind w:left="0"/>
        <w:jc w:val="left"/>
        <w:outlineLvl w:val="5"/>
      </w:pPr>
      <w:bookmarkStart w:name="heading_4" w:id="4"/>
      <w:r>
        <w:rPr>
          <w:rFonts w:eastAsia="等线" w:ascii="Arial" w:cs="Arial" w:hAnsi="Arial"/>
          <w:b w:val="true"/>
          <w:color w:val="245bdb"/>
          <w:sz w:val="24"/>
        </w:rPr>
        <w:t xml:space="preserve">4.1 </w:t>
      </w:r>
      <w:r>
        <w:rPr>
          <w:rFonts w:eastAsia="等线" w:ascii="Arial" w:cs="Arial" w:hAnsi="Arial"/>
          <w:b w:val="true"/>
          <w:sz w:val="24"/>
        </w:rPr>
        <w:t>不合格责任人确定原则</w:t>
      </w:r>
      <w:bookmarkEnd w:id="4"/>
    </w:p>
    <w:p>
      <w:pPr>
        <w:spacing w:before="120" w:after="120" w:line="288" w:lineRule="auto"/>
        <w:ind w:left="0" w:firstLine="0"/>
        <w:jc w:val="left"/>
      </w:pPr>
      <w:r>
        <w:rPr>
          <w:rFonts w:eastAsia="等线" w:ascii="Arial" w:cs="Arial" w:hAnsi="Arial"/>
          <w:sz w:val="22"/>
        </w:rPr>
        <w:t>不符合项发生在某处或某功能块，则负责该处或功能块的团队/业务实际执行人为不合格责任团队/责任人，由其统筹问题解决及验证落实。</w:t>
      </w:r>
    </w:p>
    <w:p>
      <w:pPr>
        <w:pStyle w:val="6"/>
        <w:spacing w:before="240" w:after="120" w:line="288" w:lineRule="auto"/>
        <w:ind w:left="0"/>
        <w:jc w:val="left"/>
        <w:outlineLvl w:val="5"/>
      </w:pPr>
      <w:bookmarkStart w:name="heading_5" w:id="5"/>
      <w:r>
        <w:rPr>
          <w:rFonts w:eastAsia="等线" w:ascii="Arial" w:cs="Arial" w:hAnsi="Arial"/>
          <w:b w:val="true"/>
          <w:color w:val="245bdb"/>
          <w:sz w:val="24"/>
        </w:rPr>
        <w:t xml:space="preserve">4.2 </w:t>
      </w:r>
      <w:r>
        <w:rPr>
          <w:rFonts w:eastAsia="等线" w:ascii="Arial" w:cs="Arial" w:hAnsi="Arial"/>
          <w:b w:val="true"/>
          <w:sz w:val="24"/>
        </w:rPr>
        <w:t>1236原则</w:t>
      </w:r>
      <w:bookmarkEnd w:id="5"/>
    </w:p>
    <w:p>
      <w:pPr>
        <w:numPr>
          <w:numId w:val="22"/>
        </w:numPr>
        <w:spacing w:before="120" w:after="120" w:line="288" w:lineRule="auto"/>
        <w:ind w:left="453"/>
        <w:jc w:val="left"/>
      </w:pPr>
      <w:r>
        <w:rPr>
          <w:rFonts w:eastAsia="等线" w:ascii="Arial" w:cs="Arial" w:hAnsi="Arial"/>
          <w:sz w:val="22"/>
        </w:rPr>
        <w:t>1天内实施临时对策、2天内给出根因分析及长期对策、3天内关闭问题，整个过程共6天。</w:t>
      </w:r>
    </w:p>
    <w:p>
      <w:pPr>
        <w:numPr>
          <w:numId w:val="23"/>
        </w:numPr>
        <w:spacing w:before="120" w:after="120" w:line="288" w:lineRule="auto"/>
        <w:ind w:left="453"/>
        <w:jc w:val="left"/>
      </w:pPr>
      <w:r>
        <w:rPr>
          <w:rFonts w:eastAsia="等线" w:ascii="Arial" w:cs="Arial" w:hAnsi="Arial"/>
          <w:sz w:val="22"/>
        </w:rPr>
        <w:t>除“需投资或维修等”短期无法解决的问题外，其它</w:t>
      </w:r>
      <w:r>
        <w:rPr>
          <w:rFonts w:eastAsia="等线" w:ascii="Arial" w:cs="Arial" w:hAnsi="Arial"/>
          <w:b w:val="true"/>
          <w:sz w:val="22"/>
        </w:rPr>
        <w:t>问题处理解决按此原则，1天内实施临时对策、2天内给出根因分析及长期对策、3天内关闭问题，稽查过程中发现的问题至少有70%可能通过此原则去解决。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稽查日期</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给出汇总问题</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给出并落实临时对策</w:t>
            </w:r>
            <w:r>
              <w:rPr>
                <w:rFonts w:eastAsia="等线" w:ascii="Arial" w:cs="Arial" w:hAnsi="Arial"/>
                <w:sz w:val="22"/>
              </w:rPr>
              <w:t>（1天内）</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给出根因及长期对策</w:t>
            </w:r>
            <w:r>
              <w:rPr>
                <w:rFonts w:eastAsia="等线" w:ascii="Arial" w:cs="Arial" w:hAnsi="Arial"/>
                <w:sz w:val="22"/>
              </w:rPr>
              <w:t>（2天内）</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问题关闭</w:t>
            </w:r>
          </w:p>
          <w:p>
            <w:pPr>
              <w:spacing w:before="120" w:after="120" w:line="288" w:lineRule="auto"/>
              <w:ind w:left="0"/>
              <w:jc w:val="center"/>
            </w:pPr>
            <w:r>
              <w:rPr>
                <w:rFonts w:eastAsia="等线" w:ascii="Arial" w:cs="Arial" w:hAnsi="Arial"/>
                <w:sz w:val="22"/>
              </w:rPr>
              <w:t>（3天内）</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时间原则</w:t>
            </w:r>
          </w:p>
          <w:p>
            <w:pPr>
              <w:spacing w:before="120" w:after="120" w:line="288" w:lineRule="auto"/>
              <w:ind w:left="0"/>
              <w:jc w:val="left"/>
            </w:pPr>
            <w:r>
              <w:rPr>
                <w:rFonts w:eastAsia="等线" w:ascii="Arial" w:cs="Arial" w:hAnsi="Arial"/>
                <w:sz w:val="22"/>
              </w:rPr>
              <w:t>（70%以上的问题归属此类）</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T-3天</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T+6</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“需投资或维修等”短期无法解决的问题</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T-3天</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T+1</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T+3</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按与内部稽查主审员同意的日期完成，但原则上所有不合格事项应在四周内予以问题关闭；确需四周以上才能关闭的，应报上级批准</w:t>
            </w:r>
          </w:p>
        </w:tc>
      </w:tr>
    </w:tbl>
    <w:p>
      <w:pPr>
        <w:spacing w:before="120" w:after="120" w:line="288" w:lineRule="auto"/>
        <w:ind w:left="0" w:firstLine="0"/>
        <w:jc w:val="left"/>
      </w:pPr>
      <w:r>
        <w:rPr>
          <w:rFonts w:eastAsia="等线" w:ascii="Arial" w:cs="Arial" w:hAnsi="Arial"/>
          <w:sz w:val="22"/>
        </w:rPr>
        <w:t>注：</w:t>
      </w:r>
    </w:p>
    <w:p>
      <w:pPr>
        <w:numPr>
          <w:numId w:val="24"/>
        </w:numPr>
        <w:spacing w:before="120" w:after="120" w:line="288" w:lineRule="auto"/>
        <w:ind w:left="453"/>
        <w:jc w:val="left"/>
      </w:pPr>
      <w:r>
        <w:rPr>
          <w:rFonts w:eastAsia="等线" w:ascii="Arial" w:cs="Arial" w:hAnsi="Arial"/>
          <w:sz w:val="22"/>
        </w:rPr>
        <w:t>1、天指的是自然天；</w:t>
      </w:r>
    </w:p>
    <w:p>
      <w:pPr>
        <w:numPr>
          <w:numId w:val="25"/>
        </w:numPr>
        <w:spacing w:before="120" w:after="120" w:line="288" w:lineRule="auto"/>
        <w:ind w:left="453"/>
        <w:jc w:val="left"/>
      </w:pPr>
      <w:r>
        <w:rPr>
          <w:rFonts w:eastAsia="等线" w:ascii="Arial" w:cs="Arial" w:hAnsi="Arial"/>
          <w:sz w:val="22"/>
        </w:rPr>
        <w:t>2、若“T+数字”，这个数字单位为天；</w:t>
      </w:r>
    </w:p>
    <w:p>
      <w:pPr>
        <w:numPr>
          <w:numId w:val="26"/>
        </w:numPr>
        <w:spacing w:before="120" w:after="120" w:line="288" w:lineRule="auto"/>
        <w:ind w:left="453"/>
        <w:jc w:val="left"/>
      </w:pPr>
      <w:r>
        <w:rPr>
          <w:rFonts w:eastAsia="等线" w:ascii="Arial" w:cs="Arial" w:hAnsi="Arial"/>
          <w:sz w:val="22"/>
        </w:rPr>
        <w:t>临时对策：即纠正，为消除已发现的不合格所采取的措施。</w:t>
      </w:r>
    </w:p>
    <w:p>
      <w:pPr>
        <w:numPr>
          <w:numId w:val="27"/>
        </w:numPr>
        <w:spacing w:before="120" w:after="120" w:line="288" w:lineRule="auto"/>
        <w:ind w:left="453"/>
        <w:jc w:val="left"/>
      </w:pPr>
      <w:r>
        <w:rPr>
          <w:rFonts w:eastAsia="等线" w:ascii="Arial" w:cs="Arial" w:hAnsi="Arial"/>
          <w:sz w:val="22"/>
        </w:rPr>
        <w:t>长期对策：即纠正措施、预防措施，消除已发现的不合格或其他不期望情况的原因所采取的措施及为消除潜在的不合格或其他潜在不期望情况的原因所采取的措施。</w:t>
      </w: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5. </w:t>
      </w:r>
      <w:r>
        <w:rPr>
          <w:rFonts w:eastAsia="等线" w:ascii="Arial" w:cs="Arial" w:hAnsi="Arial"/>
          <w:b w:val="true"/>
          <w:sz w:val="36"/>
        </w:rPr>
        <w:t>不合格管理</w:t>
      </w:r>
      <w:bookmarkEnd w:id="6"/>
    </w:p>
    <w:p>
      <w:pPr>
        <w:pStyle w:val="6"/>
        <w:spacing w:before="240" w:after="120" w:line="288" w:lineRule="auto"/>
        <w:ind w:left="0"/>
        <w:jc w:val="left"/>
        <w:outlineLvl w:val="5"/>
      </w:pPr>
      <w:bookmarkStart w:name="heading_7" w:id="7"/>
      <w:r>
        <w:rPr>
          <w:rFonts w:eastAsia="等线" w:ascii="Arial" w:cs="Arial" w:hAnsi="Arial"/>
          <w:b w:val="true"/>
          <w:color w:val="245bdb"/>
          <w:sz w:val="24"/>
        </w:rPr>
        <w:t xml:space="preserve">5.1 </w:t>
      </w:r>
      <w:r>
        <w:rPr>
          <w:rFonts w:eastAsia="等线" w:ascii="Arial" w:cs="Arial" w:hAnsi="Arial"/>
          <w:b w:val="true"/>
          <w:sz w:val="24"/>
        </w:rPr>
        <w:t>集团层级</w:t>
      </w:r>
      <w:bookmarkEnd w:id="7"/>
    </w:p>
    <w:p>
      <w:pPr>
        <w:spacing w:before="120" w:after="120" w:line="288" w:lineRule="auto"/>
        <w:ind w:left="0" w:firstLine="0"/>
        <w:jc w:val="left"/>
      </w:pPr>
      <w:r>
        <w:rPr>
          <w:rFonts w:eastAsia="等线" w:ascii="Arial" w:cs="Arial" w:hAnsi="Arial"/>
          <w:sz w:val="22"/>
        </w:rPr>
        <w:t>集团层级体系遵从稽查发现的不合格项均应在系统开具不合格整改单，事业部应按照1236原则进行整改并按照要求提交验证资料。</w:t>
      </w:r>
    </w:p>
    <w:p>
      <w:pPr>
        <w:pStyle w:val="6"/>
        <w:spacing w:before="240" w:after="120" w:line="288" w:lineRule="auto"/>
        <w:ind w:left="0"/>
        <w:jc w:val="left"/>
        <w:outlineLvl w:val="5"/>
      </w:pPr>
      <w:bookmarkStart w:name="heading_8" w:id="8"/>
      <w:r>
        <w:rPr>
          <w:rFonts w:eastAsia="等线" w:ascii="Arial" w:cs="Arial" w:hAnsi="Arial"/>
          <w:b w:val="true"/>
          <w:color w:val="245bdb"/>
          <w:sz w:val="24"/>
        </w:rPr>
        <w:t xml:space="preserve">5.2 </w:t>
      </w:r>
      <w:r>
        <w:rPr>
          <w:rFonts w:eastAsia="等线" w:ascii="Arial" w:cs="Arial" w:hAnsi="Arial"/>
          <w:b w:val="true"/>
          <w:sz w:val="24"/>
        </w:rPr>
        <w:t>事业部层级</w:t>
      </w:r>
      <w:bookmarkEnd w:id="8"/>
    </w:p>
    <w:p>
      <w:pPr>
        <w:spacing w:before="120" w:after="120" w:line="288" w:lineRule="auto"/>
        <w:ind w:left="0" w:firstLine="0"/>
        <w:jc w:val="left"/>
      </w:pPr>
      <w:r>
        <w:rPr>
          <w:rFonts w:eastAsia="等线" w:ascii="Arial" w:cs="Arial" w:hAnsi="Arial"/>
          <w:sz w:val="22"/>
        </w:rPr>
        <w:t>事业部层级体系遵从稽查发现的不合格项均应在系统开具不合格整改单，核心经营单元应按照1236原则进行整改并按照要求提交验证资料。</w:t>
      </w:r>
    </w:p>
    <w:p>
      <w:pPr>
        <w:pStyle w:val="6"/>
        <w:spacing w:before="240" w:after="120" w:line="288" w:lineRule="auto"/>
        <w:ind w:left="0"/>
        <w:jc w:val="left"/>
        <w:outlineLvl w:val="5"/>
      </w:pPr>
      <w:bookmarkStart w:name="heading_9" w:id="9"/>
      <w:r>
        <w:rPr>
          <w:rFonts w:eastAsia="等线" w:ascii="Arial" w:cs="Arial" w:hAnsi="Arial"/>
          <w:b w:val="true"/>
          <w:color w:val="245bdb"/>
          <w:sz w:val="24"/>
        </w:rPr>
        <w:t xml:space="preserve">5.3 </w:t>
      </w:r>
      <w:r>
        <w:rPr>
          <w:rFonts w:eastAsia="等线" w:ascii="Arial" w:cs="Arial" w:hAnsi="Arial"/>
          <w:b w:val="true"/>
          <w:sz w:val="24"/>
        </w:rPr>
        <w:t>核心经营单元层级、基本经营单元</w:t>
      </w:r>
      <w:bookmarkEnd w:id="9"/>
    </w:p>
    <w:p>
      <w:pPr>
        <w:spacing w:before="120" w:after="120" w:line="288" w:lineRule="auto"/>
        <w:ind w:left="0" w:firstLine="0"/>
        <w:jc w:val="left"/>
      </w:pPr>
      <w:r>
        <w:rPr>
          <w:rFonts w:eastAsia="等线" w:ascii="Arial" w:cs="Arial" w:hAnsi="Arial"/>
          <w:sz w:val="22"/>
        </w:rPr>
        <w:t>核心经营单元层级、基本经营单元层级体系遵从稽查发现的不合格项，符合以下要求的应在系统开具的不合格整改单，基本经营单元应按照1236原则进行整改并按照要求提交验证资料。</w:t>
      </w:r>
    </w:p>
    <w:p>
      <w:pPr>
        <w:numPr>
          <w:numId w:val="28"/>
        </w:numPr>
        <w:spacing w:before="120" w:after="120" w:line="288" w:lineRule="auto"/>
        <w:ind w:left="453"/>
        <w:jc w:val="left"/>
      </w:pPr>
      <w:r>
        <w:rPr>
          <w:rFonts w:eastAsia="等线" w:ascii="Arial" w:cs="Arial" w:hAnsi="Arial"/>
          <w:sz w:val="22"/>
        </w:rPr>
        <w:t>造成公司经济损失的不合格事项应单独开具不合格整改单。</w:t>
      </w:r>
    </w:p>
    <w:p>
      <w:pPr>
        <w:numPr>
          <w:numId w:val="29"/>
        </w:numPr>
        <w:spacing w:before="120" w:after="120" w:line="288" w:lineRule="auto"/>
        <w:ind w:left="453"/>
        <w:jc w:val="left"/>
      </w:pPr>
      <w:r>
        <w:rPr>
          <w:rFonts w:eastAsia="等线" w:ascii="Arial" w:cs="Arial" w:hAnsi="Arial"/>
          <w:sz w:val="22"/>
        </w:rPr>
        <w:t>触犯运营高压线制度的不合格事项应单独开具不合格整改单。</w:t>
      </w:r>
    </w:p>
    <w:p>
      <w:pPr>
        <w:numPr>
          <w:numId w:val="30"/>
        </w:numPr>
        <w:spacing w:before="120" w:after="120" w:line="288" w:lineRule="auto"/>
        <w:ind w:left="453"/>
        <w:jc w:val="left"/>
      </w:pPr>
      <w:r>
        <w:rPr>
          <w:rFonts w:eastAsia="等线" w:ascii="Arial" w:cs="Arial" w:hAnsi="Arial"/>
          <w:sz w:val="22"/>
        </w:rPr>
        <w:t>核心经营单元层级稽查相同稽查内容不同稽查场次连续出现2次及以上的不合格的应单独开单。</w:t>
      </w:r>
    </w:p>
    <w:p>
      <w:pPr>
        <w:numPr>
          <w:numId w:val="31"/>
        </w:numPr>
        <w:spacing w:before="120" w:after="120" w:line="288" w:lineRule="auto"/>
        <w:ind w:left="453"/>
        <w:jc w:val="left"/>
      </w:pPr>
      <w:r>
        <w:rPr>
          <w:rFonts w:eastAsia="等线" w:ascii="Arial" w:cs="Arial" w:hAnsi="Arial"/>
          <w:sz w:val="22"/>
        </w:rPr>
        <w:t>同一场次稽查有3个及以上人员出现相同稽查内容的不合格的应单独开单。</w:t>
      </w:r>
    </w:p>
    <w:p>
      <w:pPr>
        <w:numPr>
          <w:numId w:val="32"/>
        </w:numPr>
        <w:spacing w:before="120" w:after="120" w:line="288" w:lineRule="auto"/>
        <w:ind w:left="453"/>
        <w:jc w:val="left"/>
      </w:pPr>
      <w:r>
        <w:rPr>
          <w:rFonts w:eastAsia="等线" w:ascii="Arial" w:cs="Arial" w:hAnsi="Arial"/>
          <w:sz w:val="22"/>
        </w:rPr>
        <w:t>除以上开具不合格整改单不合格事项外发现的其他不合格项，可在一天内完成整改的，需记录不合格事项并收集整改结果证明资料，不能在一天内完成整改的建议开具不合格整改单。</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09163">
    <w:lvl>
      <w:start w:val="1"/>
      <w:numFmt w:val="lowerLetter"/>
      <w:suff w:val="tab"/>
      <w:lvlText w:val="%1."/>
      <w:rPr>
        <w:color w:val="3370ff"/>
      </w:rPr>
    </w:lvl>
  </w:abstractNum>
  <w:abstractNum w:abstractNumId="709164">
    <w:lvl>
      <w:start w:val="2"/>
      <w:numFmt w:val="lowerLetter"/>
      <w:suff w:val="tab"/>
      <w:lvlText w:val="%1."/>
      <w:rPr>
        <w:color w:val="3370ff"/>
      </w:rPr>
    </w:lvl>
  </w:abstractNum>
  <w:abstractNum w:abstractNumId="709165">
    <w:lvl>
      <w:start w:val="3"/>
      <w:numFmt w:val="lowerLetter"/>
      <w:suff w:val="tab"/>
      <w:lvlText w:val="%1."/>
      <w:rPr>
        <w:color w:val="3370ff"/>
      </w:rPr>
    </w:lvl>
  </w:abstractNum>
  <w:abstractNum w:abstractNumId="709166">
    <w:lvl>
      <w:start w:val="4"/>
      <w:numFmt w:val="lowerLetter"/>
      <w:suff w:val="tab"/>
      <w:lvlText w:val="%1."/>
      <w:rPr>
        <w:color w:val="3370ff"/>
      </w:rPr>
    </w:lvl>
  </w:abstractNum>
  <w:abstractNum w:abstractNumId="709167">
    <w:lvl>
      <w:start w:val="1"/>
      <w:numFmt w:val="lowerLetter"/>
      <w:suff w:val="tab"/>
      <w:lvlText w:val="%1."/>
      <w:rPr>
        <w:color w:val="3370ff"/>
      </w:rPr>
    </w:lvl>
  </w:abstractNum>
  <w:abstractNum w:abstractNumId="709168">
    <w:lvl>
      <w:numFmt w:val="bullet"/>
      <w:suff w:val="tab"/>
      <w:lvlText w:val="•"/>
      <w:rPr>
        <w:color w:val="3370ff"/>
      </w:rPr>
    </w:lvl>
  </w:abstractNum>
  <w:abstractNum w:abstractNumId="709169">
    <w:lvl>
      <w:numFmt w:val="bullet"/>
      <w:suff w:val="tab"/>
      <w:lvlText w:val="•"/>
      <w:rPr>
        <w:color w:val="3370ff"/>
      </w:rPr>
    </w:lvl>
  </w:abstractNum>
  <w:abstractNum w:abstractNumId="709170">
    <w:lvl>
      <w:numFmt w:val="bullet"/>
      <w:suff w:val="tab"/>
      <w:lvlText w:val="•"/>
      <w:rPr>
        <w:color w:val="3370ff"/>
      </w:rPr>
    </w:lvl>
  </w:abstractNum>
  <w:abstractNum w:abstractNumId="709171">
    <w:lvl>
      <w:numFmt w:val="bullet"/>
      <w:suff w:val="tab"/>
      <w:lvlText w:val="•"/>
      <w:rPr>
        <w:color w:val="3370ff"/>
      </w:rPr>
    </w:lvl>
  </w:abstractNum>
  <w:abstractNum w:abstractNumId="709172">
    <w:lvl>
      <w:numFmt w:val="bullet"/>
      <w:suff w:val="tab"/>
      <w:lvlText w:val="•"/>
      <w:rPr>
        <w:color w:val="3370ff"/>
      </w:rPr>
    </w:lvl>
  </w:abstractNum>
  <w:abstractNum w:abstractNumId="709173">
    <w:lvl>
      <w:numFmt w:val="bullet"/>
      <w:suff w:val="tab"/>
      <w:lvlText w:val="•"/>
      <w:rPr>
        <w:color w:val="3370ff"/>
      </w:rPr>
    </w:lvl>
  </w:abstractNum>
  <w:abstractNum w:abstractNumId="709174">
    <w:lvl>
      <w:numFmt w:val="bullet"/>
      <w:suff w:val="tab"/>
      <w:lvlText w:val="•"/>
      <w:rPr>
        <w:color w:val="3370ff"/>
      </w:rPr>
    </w:lvl>
  </w:abstractNum>
  <w:abstractNum w:abstractNumId="709175">
    <w:lvl>
      <w:numFmt w:val="bullet"/>
      <w:suff w:val="tab"/>
      <w:lvlText w:val="•"/>
      <w:rPr>
        <w:color w:val="3370ff"/>
      </w:rPr>
    </w:lvl>
  </w:abstractNum>
  <w:abstractNum w:abstractNumId="709176">
    <w:lvl>
      <w:numFmt w:val="bullet"/>
      <w:suff w:val="tab"/>
      <w:lvlText w:val="•"/>
      <w:rPr>
        <w:color w:val="3370ff"/>
      </w:rPr>
    </w:lvl>
  </w:abstractNum>
  <w:abstractNum w:abstractNumId="709177">
    <w:lvl>
      <w:numFmt w:val="bullet"/>
      <w:suff w:val="tab"/>
      <w:lvlText w:val="•"/>
      <w:rPr>
        <w:color w:val="3370ff"/>
      </w:rPr>
    </w:lvl>
  </w:abstractNum>
  <w:abstractNum w:abstractNumId="709178">
    <w:lvl>
      <w:numFmt w:val="bullet"/>
      <w:suff w:val="tab"/>
      <w:lvlText w:val="•"/>
      <w:rPr>
        <w:color w:val="3370ff"/>
      </w:rPr>
    </w:lvl>
  </w:abstractNum>
  <w:abstractNum w:abstractNumId="709179">
    <w:lvl>
      <w:numFmt w:val="bullet"/>
      <w:suff w:val="tab"/>
      <w:lvlText w:val="•"/>
      <w:rPr>
        <w:color w:val="3370ff"/>
      </w:rPr>
    </w:lvl>
  </w:abstractNum>
  <w:abstractNum w:abstractNumId="709180">
    <w:lvl>
      <w:numFmt w:val="bullet"/>
      <w:suff w:val="tab"/>
      <w:lvlText w:val="•"/>
      <w:rPr>
        <w:color w:val="3370ff"/>
      </w:rPr>
    </w:lvl>
  </w:abstractNum>
  <w:abstractNum w:abstractNumId="709181">
    <w:lvl>
      <w:numFmt w:val="bullet"/>
      <w:suff w:val="tab"/>
      <w:lvlText w:val="•"/>
      <w:rPr>
        <w:color w:val="3370ff"/>
      </w:rPr>
    </w:lvl>
  </w:abstractNum>
  <w:abstractNum w:abstractNumId="709182">
    <w:lvl>
      <w:numFmt w:val="bullet"/>
      <w:suff w:val="tab"/>
      <w:lvlText w:val="•"/>
      <w:rPr>
        <w:color w:val="3370ff"/>
      </w:rPr>
    </w:lvl>
  </w:abstractNum>
  <w:abstractNum w:abstractNumId="709183">
    <w:lvl>
      <w:start w:val="2"/>
      <w:numFmt w:val="decimal"/>
      <w:suff w:val="tab"/>
      <w:lvlText w:val="%1."/>
      <w:rPr>
        <w:color w:val="3370ff"/>
      </w:rPr>
    </w:lvl>
  </w:abstractNum>
  <w:abstractNum w:abstractNumId="709184">
    <w:lvl>
      <w:start w:val="1"/>
      <w:numFmt w:val="lowerLetter"/>
      <w:suff w:val="tab"/>
      <w:lvlText w:val="%1."/>
      <w:rPr>
        <w:color w:val="3370ff"/>
      </w:rPr>
    </w:lvl>
  </w:abstractNum>
  <w:abstractNum w:abstractNumId="709185">
    <w:lvl>
      <w:start w:val="2"/>
      <w:numFmt w:val="lowerLetter"/>
      <w:suff w:val="tab"/>
      <w:lvlText w:val="%1."/>
      <w:rPr>
        <w:color w:val="3370ff"/>
      </w:rPr>
    </w:lvl>
  </w:abstractNum>
  <w:abstractNum w:abstractNumId="709186">
    <w:lvl>
      <w:start w:val="1"/>
      <w:numFmt w:val="lowerLetter"/>
      <w:suff w:val="tab"/>
      <w:lvlText w:val="%1."/>
      <w:rPr>
        <w:color w:val="3370ff"/>
      </w:rPr>
    </w:lvl>
  </w:abstractNum>
  <w:abstractNum w:abstractNumId="709187">
    <w:lvl>
      <w:start w:val="2"/>
      <w:numFmt w:val="lowerLetter"/>
      <w:suff w:val="tab"/>
      <w:lvlText w:val="%1."/>
      <w:rPr>
        <w:color w:val="3370ff"/>
      </w:rPr>
    </w:lvl>
  </w:abstractNum>
  <w:abstractNum w:abstractNumId="709188">
    <w:lvl>
      <w:start w:val="3"/>
      <w:numFmt w:val="lowerLetter"/>
      <w:suff w:val="tab"/>
      <w:lvlText w:val="%1."/>
      <w:rPr>
        <w:color w:val="3370ff"/>
      </w:rPr>
    </w:lvl>
  </w:abstractNum>
  <w:abstractNum w:abstractNumId="709189">
    <w:lvl>
      <w:start w:val="4"/>
      <w:numFmt w:val="lowerLetter"/>
      <w:suff w:val="tab"/>
      <w:lvlText w:val="%1."/>
      <w:rPr>
        <w:color w:val="3370ff"/>
      </w:rPr>
    </w:lvl>
  </w:abstractNum>
  <w:abstractNum w:abstractNumId="709190">
    <w:lvl>
      <w:start w:val="1"/>
      <w:numFmt w:val="lowerLetter"/>
      <w:suff w:val="tab"/>
      <w:lvlText w:val="%1."/>
      <w:rPr>
        <w:color w:val="3370ff"/>
      </w:rPr>
    </w:lvl>
  </w:abstractNum>
  <w:abstractNum w:abstractNumId="709191">
    <w:lvl>
      <w:start w:val="2"/>
      <w:numFmt w:val="lowerLetter"/>
      <w:suff w:val="tab"/>
      <w:lvlText w:val="%1."/>
      <w:rPr>
        <w:color w:val="3370ff"/>
      </w:rPr>
    </w:lvl>
  </w:abstractNum>
  <w:abstractNum w:abstractNumId="709192">
    <w:lvl>
      <w:start w:val="3"/>
      <w:numFmt w:val="lowerLetter"/>
      <w:suff w:val="tab"/>
      <w:lvlText w:val="%1."/>
      <w:rPr>
        <w:color w:val="3370ff"/>
      </w:rPr>
    </w:lvl>
  </w:abstractNum>
  <w:abstractNum w:abstractNumId="709193">
    <w:lvl>
      <w:start w:val="4"/>
      <w:numFmt w:val="lowerLetter"/>
      <w:suff w:val="tab"/>
      <w:lvlText w:val="%1."/>
      <w:rPr>
        <w:color w:val="3370ff"/>
      </w:rPr>
    </w:lvl>
  </w:abstractNum>
  <w:abstractNum w:abstractNumId="709194">
    <w:lvl>
      <w:start w:val="5"/>
      <w:numFmt w:val="lowerLetter"/>
      <w:suff w:val="tab"/>
      <w:lvlText w:val="%1."/>
      <w:rPr>
        <w:color w:val="3370ff"/>
      </w:rPr>
    </w:lvl>
  </w:abstractNum>
  <w:num w:numId="1">
    <w:abstractNumId w:val="709163"/>
  </w:num>
  <w:num w:numId="2">
    <w:abstractNumId w:val="709164"/>
  </w:num>
  <w:num w:numId="3">
    <w:abstractNumId w:val="709165"/>
  </w:num>
  <w:num w:numId="4">
    <w:abstractNumId w:val="709166"/>
  </w:num>
  <w:num w:numId="5">
    <w:abstractNumId w:val="709167"/>
  </w:num>
  <w:num w:numId="6">
    <w:abstractNumId w:val="709168"/>
  </w:num>
  <w:num w:numId="7">
    <w:abstractNumId w:val="709169"/>
  </w:num>
  <w:num w:numId="8">
    <w:abstractNumId w:val="709170"/>
  </w:num>
  <w:num w:numId="9">
    <w:abstractNumId w:val="709171"/>
  </w:num>
  <w:num w:numId="10">
    <w:abstractNumId w:val="709172"/>
  </w:num>
  <w:num w:numId="11">
    <w:abstractNumId w:val="709173"/>
  </w:num>
  <w:num w:numId="12">
    <w:abstractNumId w:val="709174"/>
  </w:num>
  <w:num w:numId="13">
    <w:abstractNumId w:val="709175"/>
  </w:num>
  <w:num w:numId="14">
    <w:abstractNumId w:val="709176"/>
  </w:num>
  <w:num w:numId="15">
    <w:abstractNumId w:val="709177"/>
  </w:num>
  <w:num w:numId="16">
    <w:abstractNumId w:val="709178"/>
  </w:num>
  <w:num w:numId="17">
    <w:abstractNumId w:val="709179"/>
  </w:num>
  <w:num w:numId="18">
    <w:abstractNumId w:val="709180"/>
  </w:num>
  <w:num w:numId="19">
    <w:abstractNumId w:val="709181"/>
  </w:num>
  <w:num w:numId="20">
    <w:abstractNumId w:val="709182"/>
  </w:num>
  <w:num w:numId="21">
    <w:abstractNumId w:val="709183"/>
  </w:num>
  <w:num w:numId="22">
    <w:abstractNumId w:val="709184"/>
  </w:num>
  <w:num w:numId="23">
    <w:abstractNumId w:val="709185"/>
  </w:num>
  <w:num w:numId="24">
    <w:abstractNumId w:val="709186"/>
  </w:num>
  <w:num w:numId="25">
    <w:abstractNumId w:val="709187"/>
  </w:num>
  <w:num w:numId="26">
    <w:abstractNumId w:val="709188"/>
  </w:num>
  <w:num w:numId="27">
    <w:abstractNumId w:val="709189"/>
  </w:num>
  <w:num w:numId="28">
    <w:abstractNumId w:val="709190"/>
  </w:num>
  <w:num w:numId="29">
    <w:abstractNumId w:val="709191"/>
  </w:num>
  <w:num w:numId="30">
    <w:abstractNumId w:val="709192"/>
  </w:num>
  <w:num w:numId="31">
    <w:abstractNumId w:val="709193"/>
  </w:num>
  <w:num w:numId="32">
    <w:abstractNumId w:val="7091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applink.feishu.cn/client/mini_program/open?appId=cli_9cb844403dbb9108&amp;mode=appCenter&amp;path=pages/detail/index?instanceId=7358006785480998940&amp;path_pc=pc/pages/in-process/index?instanceId=7358006785480998940" TargetMode="External" Type="http://schemas.openxmlformats.org/officeDocument/2006/relationships/hyperlink"/><Relationship Id="rId5" Target="https://w8u32nmglo.feishu.cn/wiki/VREzwgDwKiE9eJkEFUQcSy2Ense?from=from_copylink" TargetMode="External" Type="http://schemas.openxmlformats.org/officeDocument/2006/relationships/hyperlink"/><Relationship Id="rId6" Target="numbering.xml" Type="http://schemas.openxmlformats.org/officeDocument/2006/relationships/numbering"/><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2026-10-10T02:16:42Z</dcterms:created>
  <dc:creator>Apache POI</dc:creator>
</cp:coreProperties>
</file>