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 项目基本概况—空间资源信息（填写模板）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3.1.2.1 空间资源信息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650"/>
        <w:gridCol w:w="2010"/>
        <w:gridCol w:w="2190"/>
        <w:gridCol w:w="8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空间类别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数量/面积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使用状态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住宅楼栋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8栋；现行口径2610户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住宅居住及公共通行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1—8栋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5,496.51㎡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商业经营及顾客通行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主要位于6—8栋1—2层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地下室54,845.01㎡；2层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停车、设备及交通组织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负一层、负二层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公共绿化空间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约8,000㎡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绿化、休闲、通行及社区活动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中心花园东、西区及公共绿化区域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配套公共服务空间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幼儿园约3,000㎡；青少年活动中心约2,500㎡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教育及青少年活动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项目配套区域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管理用房、设备房及重点部位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物业服务、设备运行及风险管控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项目各管理和设备空间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3.1.2.2 楼栋、户型及入住情况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380"/>
        <w:gridCol w:w="1170"/>
        <w:gridCol w:w="1320"/>
        <w:gridCol w:w="1455"/>
        <w:gridCol w:w="180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楼栋业态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套数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总建筑面积（m²）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主要分布楼栋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1—4栋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居住-高层住宅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1644户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65,106.36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1—4栋，22层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5—6栋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居住-高层住宅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410户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17,756.83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5—6栋，17层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7—8栋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居住-高层住宅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485户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19,427.29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7—8栋，15层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71户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5,496.51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3.1.2.3 出入口及交通组织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140"/>
        <w:gridCol w:w="1995"/>
        <w:gridCol w:w="1995"/>
        <w:gridCol w:w="153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出入口类型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主要使用对象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机动车主入口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西北门、南2号门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住户、商户、访客及服务车辆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铁质、钢质、玻璃、木质、不锈钢、瓷砖、水泥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机动车次入口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西北门、南2号门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住户、商户、访客及服务车辆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铁质、钢质、玻璃、木质、不锈钢、瓷砖、水泥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人行主入口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西北门、南2号门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住户、访客、商户及配套机构使用人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铁质、钢质、玻璃、木质、不锈钢、瓷砖、水泥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人行次入口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西北门、南2号门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住户及访客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铁质、钢质、玻璃、木质、不锈钢、瓷砖、水泥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商业地下车库消防出入口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商业及地下车库衔接区域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商户、顾客、车辆及应急人员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铁质、钢质、玻璃、木质、不锈钢、瓷砖、水泥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主要车行动线：</w:t>
      </w:r>
      <w:r>
        <w:rPr>
          <w:rFonts w:eastAsia="等线" w:ascii="Arial" w:cs="Arial" w:hAnsi="Arial"/>
          <w:sz w:val="22"/>
        </w:rPr>
        <w:t>由项目机动车出入口进入负一层、负二层地下车库，住宅、商业及访客车辆共用部分交通资源；具体单向组织、坡道和分流节点待现场核验。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主要人行动线：</w:t>
      </w:r>
      <w:r>
        <w:rPr>
          <w:rFonts w:eastAsia="等线" w:ascii="Arial" w:cs="Arial" w:hAnsi="Arial"/>
          <w:sz w:val="22"/>
        </w:rPr>
        <w:t>由人行出入口进入楼栋、中心花园、商业及配套空间，需核验人车交叉点、无障碍路径及夜间照明。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学校接送及上下学动线：</w:t>
      </w:r>
      <w:r>
        <w:rPr>
          <w:rFonts w:eastAsia="等线" w:ascii="Arial" w:cs="Arial" w:hAnsi="Arial"/>
          <w:sz w:val="22"/>
        </w:rPr>
        <w:t>围绕项目配套幼儿园形成时段性集中人流和车辆，具体接送点、等候区和疏导路线待与运营主体共同确认。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快递外卖及配送车辆动线：</w:t>
      </w:r>
      <w:r>
        <w:rPr>
          <w:rFonts w:eastAsia="等线" w:ascii="Arial" w:cs="Arial" w:hAnsi="Arial"/>
          <w:sz w:val="22"/>
        </w:rPr>
        <w:t>专用停靠点、临时存放点及禁止进入区域待现场确认，原则上减少与住宅归家、儿童活动及消防通道冲突。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3.1.2.4 停车资源及公共空间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停车资源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2160"/>
        <w:gridCol w:w="2250"/>
        <w:gridCol w:w="183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停车资源类型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使用对象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地下固定车位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1,184个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负一层、负二层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住户、商户及授权车辆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临时访客车位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30个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地下车库内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访客车辆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非机动车位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30个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地下车库内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住户及服务人员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电动车充电点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机动车充电车位55个；非机动车充电点30个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地下车库内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授权使用人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公共空间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645"/>
        <w:gridCol w:w="1785"/>
        <w:gridCol w:w="2310"/>
        <w:gridCol w:w="199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公共空间类型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可支持活动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中央庭院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中心花园东区、西区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用于休闲、通行及社区活动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儿童老年活动区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小区西边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用于儿童、老热门休闲、通行及社区活动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健身社区活动空间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项目公共区域及青少年活动中心相关空间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用于项目所有客户进行健身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商业裙楼架空层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6—8栋商业及相邻区域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用于商业活动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垃圾投放点垃圾站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小区东边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涂料、塑料、铁质、钢质、玻璃、木质、不锈钢、瓷砖、水泥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用于垃圾清运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2026-10-10T02:05:11Z</dcterms:created>
  <dc:creator>Apache POI</dc:creator>
</cp:coreProperties>
</file>