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CCPG卓越服务准则 </w:t>
      </w:r>
      <w:r>
        <w:rPr>
          <w:rFonts w:eastAsia="等线" w:ascii="Arial" w:cs="Arial" w:hAnsi="Arial"/>
          <w:b w:val="true"/>
          <w:sz w:val="52"/>
        </w:rPr>
        <w:t xml:space="preserve">CCPG/A-02-002 </w:t>
      </w:r>
      <w:r>
        <w:rPr>
          <w:rFonts w:eastAsia="等线" w:ascii="Arial" w:cs="Arial" w:hAnsi="Arial"/>
          <w:b w:val="true"/>
          <w:sz w:val="52"/>
        </w:rPr>
        <w:t xml:space="preserve"> F/1</w:t>
      </w:r>
      <w:r>
        <w:rPr>
          <w:rFonts w:eastAsia="等线" w:ascii="Arial" w:cs="Arial" w:hAnsi="Arial"/>
          <w:b w:val="true"/>
          <w:sz w:val="52"/>
        </w:rPr>
        <w:t xml:space="preserve"> -审批版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该文档相关审批单：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体系管理审批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🏷文控信息卡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2505"/>
        <w:gridCol w:w="1155"/>
        <w:gridCol w:w="324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CCPG卓越服务准则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文件类型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纲领文件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CCPG/A-02-002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版本/版次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保密层级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2026年2月26日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长期有效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@孔妍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人力资源中心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@陈耀忠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2019年9月29日：初版发行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2026年2月27日：修订发行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</w:p>
        </w:tc>
        <w:tc>
          <w:tcPr>
            <w:tcW w:w="25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CCPG卓越服务准则，是不断观照、反省，持续改进，追求卓越的服务指引。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CCPG座右铭，是激励、警诫、提醒自己的行动格言。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卓越服务三步骤，是“诚意链接+满意服务”的行动步骤。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卓越服务原则：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第1～5条：是对公司倡导的主要服务理念作进一步展开，以便更好落地；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第6～15条：是对常见服务场景进行规范；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第16条：是对员工最为严苛的约束进行重申。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以下方为正文。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一、CCPG座右铭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与客户坐在一条板凳上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二、卓越服务三步骤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亲切称呼客户的名字、热情而真诚地问候。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敏锐察觉客户期望和需求，勇于面对，竭尽全力快速解决客户问题。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让每位客户满意或理解，并适时回访。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三、卓越服务原则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我们是与同事、客户和事业伙伴坐在一条板凳上的一家人，</w:t>
      </w:r>
      <w:r>
        <w:rPr>
          <w:rFonts w:eastAsia="等线" w:ascii="Arial" w:cs="Arial" w:hAnsi="Arial"/>
          <w:sz w:val="22"/>
        </w:rPr>
        <w:t>彼此尊重、相互悦纳、共同成就。</w:t>
      </w:r>
      <w:r>
        <w:rPr>
          <w:rFonts w:eastAsia="等线" w:ascii="Arial" w:cs="Arial" w:hAnsi="Arial"/>
          <w:sz w:val="22"/>
        </w:rPr>
        <w:t>我们有一个共同使命：让社区变得更美好！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“与客户坐在一条板凳上”是我们的座右铭。作为社区服务专业团队，在竭尽全力服务好客户的同时，不失自己的尊严。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让社区变得更美好”就是要营造安全、完好、整洁、便捷、温馨（居住物业）的并为社会普遍认可和推崇的美好社区；成为最“值得托付”的社区生态运营商是客户对我们的最高奖赏。【安全、完好、整洁、效率、尊享（商用物业）；安全、完好、整洁、有序、舒适（公建物业）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“安全、完好和整洁”是我们为社区提供最基本的服务，我们负有不容推辞的责任。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“卓越服务三步骤”是我们服务客户的基础，与客户的每一次接触都要运用这些步骤，以确保客户的满意。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我们所服务的都是有高品质生活要求的客户，所以，我们要有高品质的工作要求。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我们要发自内心地微笑面对客户，仪容仪态是服务的重要组成部分，时刻保持自身的专业形象。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我们绝不能对客户说“不”。接到报事后，必须视为自己的责任，快速响应，直到客户的问题得到圆满解决或认同。请谨记：我们并非无所不能，但必竭尽所能。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我们将客户视为家人，时刻将其装在心中，</w:t>
      </w:r>
      <w:r>
        <w:rPr>
          <w:rFonts w:eastAsia="等线" w:ascii="Arial" w:cs="Arial" w:hAnsi="Arial"/>
          <w:sz w:val="22"/>
        </w:rPr>
        <w:t>诚意链接</w:t>
      </w:r>
      <w:r>
        <w:rPr>
          <w:rFonts w:eastAsia="等线" w:ascii="Arial" w:cs="Arial" w:hAnsi="Arial"/>
          <w:sz w:val="22"/>
        </w:rPr>
        <w:t>，给予家人般的关爱，心照不宣地满足客户内心的期望和需求，并为其创造独特难忘的亲身体验。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为了能给客户提供细致入微的个性化服务，我们应当了解和熟悉客户，并有责任识别和记录客户的个人偏好。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我们有义务点燃客户内心的激情，激发他们利益更多人，让陌生人社区变成熟人社区。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我们都应践行“</w:t>
      </w:r>
      <w:r>
        <w:rPr>
          <w:rFonts w:eastAsia="等线" w:ascii="Arial" w:cs="Arial" w:hAnsi="Arial"/>
          <w:b w:val="true"/>
          <w:sz w:val="22"/>
        </w:rPr>
        <w:t>乐于发现、一定改进、执着跟踪、直至关闭</w:t>
      </w:r>
      <w:r>
        <w:rPr>
          <w:rFonts w:eastAsia="等线" w:ascii="Arial" w:cs="Arial" w:hAnsi="Arial"/>
          <w:sz w:val="22"/>
        </w:rPr>
        <w:t>”的公司品质文化，致力于持续发现和改进服务现场和流程的缺陷。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我们要按公司要求，规范地应用平台工具，实现线上线下融合的高效社区服务；我们对录入的线上数据的完整性、准确性、真实性和及时性负责。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我们要自觉地提升自己的专业能力，才能更好地服务客户。我们要真诚地关爱同事，携手共进，快乐成长。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我们理解公司目标，以实现公司目标为己任；自觉地与他人协同完成公司目标是我们的责任。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我们谨记：服务中的</w:t>
      </w:r>
      <w:r>
        <w:rPr>
          <w:rFonts w:eastAsia="等线" w:ascii="Arial" w:cs="Arial" w:hAnsi="Arial"/>
          <w:b w:val="true"/>
          <w:sz w:val="22"/>
        </w:rPr>
        <w:t>质量问题</w:t>
      </w:r>
      <w:r>
        <w:rPr>
          <w:rFonts w:eastAsia="等线" w:ascii="Arial" w:cs="Arial" w:hAnsi="Arial"/>
          <w:sz w:val="22"/>
        </w:rPr>
        <w:t>是公司的一票否决事项；工作中的</w:t>
      </w:r>
      <w:r>
        <w:rPr>
          <w:rFonts w:eastAsia="等线" w:ascii="Arial" w:cs="Arial" w:hAnsi="Arial"/>
          <w:b w:val="true"/>
          <w:sz w:val="22"/>
        </w:rPr>
        <w:t>营私舞弊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弄虚作假</w:t>
      </w:r>
      <w:r>
        <w:rPr>
          <w:rFonts w:eastAsia="等线" w:ascii="Arial" w:cs="Arial" w:hAnsi="Arial"/>
          <w:sz w:val="22"/>
        </w:rPr>
        <w:t>行为是公司的零容忍底线；员工取得的</w:t>
      </w:r>
      <w:r>
        <w:rPr>
          <w:rFonts w:eastAsia="等线" w:ascii="Arial" w:cs="Arial" w:hAnsi="Arial"/>
          <w:b w:val="true"/>
          <w:sz w:val="22"/>
        </w:rPr>
        <w:t>绩效结果</w:t>
      </w:r>
      <w:r>
        <w:rPr>
          <w:rFonts w:eastAsia="等线" w:ascii="Arial" w:cs="Arial" w:hAnsi="Arial"/>
          <w:sz w:val="22"/>
        </w:rPr>
        <w:t>公司会严格按制度应用。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530846">
    <w:lvl>
      <w:start w:val="1"/>
      <w:numFmt w:val="decimal"/>
      <w:suff w:val="tab"/>
      <w:lvlText w:val="%1."/>
      <w:rPr>
        <w:color w:val="3370ff"/>
      </w:rPr>
    </w:lvl>
  </w:abstractNum>
  <w:abstractNum w:abstractNumId="1530847">
    <w:lvl>
      <w:start w:val="2"/>
      <w:numFmt w:val="decimal"/>
      <w:suff w:val="tab"/>
      <w:lvlText w:val="%1."/>
      <w:rPr>
        <w:color w:val="3370ff"/>
      </w:rPr>
    </w:lvl>
  </w:abstractNum>
  <w:abstractNum w:abstractNumId="1530848">
    <w:lvl>
      <w:start w:val="3"/>
      <w:numFmt w:val="decimal"/>
      <w:suff w:val="tab"/>
      <w:lvlText w:val="%1."/>
      <w:rPr>
        <w:color w:val="3370ff"/>
      </w:rPr>
    </w:lvl>
  </w:abstractNum>
  <w:abstractNum w:abstractNumId="1530849">
    <w:lvl>
      <w:numFmt w:val="bullet"/>
      <w:suff w:val="tab"/>
      <w:lvlText w:val="￮"/>
      <w:rPr>
        <w:color w:val="3370ff"/>
      </w:rPr>
    </w:lvl>
  </w:abstractNum>
  <w:abstractNum w:abstractNumId="1530850">
    <w:lvl>
      <w:numFmt w:val="bullet"/>
      <w:suff w:val="tab"/>
      <w:lvlText w:val="￮"/>
      <w:rPr>
        <w:color w:val="3370ff"/>
      </w:rPr>
    </w:lvl>
  </w:abstractNum>
  <w:abstractNum w:abstractNumId="1530851">
    <w:lvl>
      <w:numFmt w:val="bullet"/>
      <w:suff w:val="tab"/>
      <w:lvlText w:val="￮"/>
      <w:rPr>
        <w:color w:val="3370ff"/>
      </w:rPr>
    </w:lvl>
  </w:abstractNum>
  <w:abstractNum w:abstractNumId="1530852">
    <w:lvl>
      <w:start w:val="1"/>
      <w:numFmt w:val="decimal"/>
      <w:suff w:val="tab"/>
      <w:lvlText w:val="%1."/>
      <w:rPr>
        <w:color w:val="3370ff"/>
      </w:rPr>
    </w:lvl>
  </w:abstractNum>
  <w:abstractNum w:abstractNumId="1530853">
    <w:lvl>
      <w:start w:val="2"/>
      <w:numFmt w:val="decimal"/>
      <w:suff w:val="tab"/>
      <w:lvlText w:val="%1."/>
      <w:rPr>
        <w:color w:val="3370ff"/>
      </w:rPr>
    </w:lvl>
  </w:abstractNum>
  <w:abstractNum w:abstractNumId="1530854">
    <w:lvl>
      <w:start w:val="3"/>
      <w:numFmt w:val="decimal"/>
      <w:suff w:val="tab"/>
      <w:lvlText w:val="%1."/>
      <w:rPr>
        <w:color w:val="3370ff"/>
      </w:rPr>
    </w:lvl>
  </w:abstractNum>
  <w:abstractNum w:abstractNumId="1530855">
    <w:lvl>
      <w:start w:val="1"/>
      <w:numFmt w:val="decimal"/>
      <w:suff w:val="tab"/>
      <w:lvlText w:val="%1."/>
      <w:rPr>
        <w:color w:val="3370ff"/>
      </w:rPr>
    </w:lvl>
  </w:abstractNum>
  <w:abstractNum w:abstractNumId="1530856">
    <w:lvl>
      <w:start w:val="2"/>
      <w:numFmt w:val="decimal"/>
      <w:suff w:val="tab"/>
      <w:lvlText w:val="%1."/>
      <w:rPr>
        <w:color w:val="3370ff"/>
      </w:rPr>
    </w:lvl>
  </w:abstractNum>
  <w:abstractNum w:abstractNumId="1530857">
    <w:lvl>
      <w:start w:val="3"/>
      <w:numFmt w:val="decimal"/>
      <w:suff w:val="tab"/>
      <w:lvlText w:val="%1."/>
      <w:rPr>
        <w:color w:val="3370ff"/>
      </w:rPr>
    </w:lvl>
  </w:abstractNum>
  <w:abstractNum w:abstractNumId="1530858">
    <w:lvl>
      <w:start w:val="4"/>
      <w:numFmt w:val="decimal"/>
      <w:suff w:val="tab"/>
      <w:lvlText w:val="%1."/>
      <w:rPr>
        <w:color w:val="3370ff"/>
      </w:rPr>
    </w:lvl>
  </w:abstractNum>
  <w:abstractNum w:abstractNumId="1530859">
    <w:lvl>
      <w:start w:val="5"/>
      <w:numFmt w:val="decimal"/>
      <w:suff w:val="tab"/>
      <w:lvlText w:val="%1."/>
      <w:rPr>
        <w:color w:val="3370ff"/>
      </w:rPr>
    </w:lvl>
  </w:abstractNum>
  <w:abstractNum w:abstractNumId="1530860">
    <w:lvl>
      <w:start w:val="6"/>
      <w:numFmt w:val="decimal"/>
      <w:suff w:val="tab"/>
      <w:lvlText w:val="%1."/>
      <w:rPr>
        <w:color w:val="3370ff"/>
      </w:rPr>
    </w:lvl>
  </w:abstractNum>
  <w:abstractNum w:abstractNumId="1530861">
    <w:lvl>
      <w:start w:val="7"/>
      <w:numFmt w:val="decimal"/>
      <w:suff w:val="tab"/>
      <w:lvlText w:val="%1."/>
      <w:rPr>
        <w:color w:val="3370ff"/>
      </w:rPr>
    </w:lvl>
  </w:abstractNum>
  <w:abstractNum w:abstractNumId="1530862">
    <w:lvl>
      <w:start w:val="8"/>
      <w:numFmt w:val="decimal"/>
      <w:suff w:val="tab"/>
      <w:lvlText w:val="%1."/>
      <w:rPr>
        <w:color w:val="3370ff"/>
      </w:rPr>
    </w:lvl>
  </w:abstractNum>
  <w:abstractNum w:abstractNumId="1530863">
    <w:lvl>
      <w:start w:val="9"/>
      <w:numFmt w:val="decimal"/>
      <w:suff w:val="tab"/>
      <w:lvlText w:val="%1."/>
      <w:rPr>
        <w:color w:val="3370ff"/>
      </w:rPr>
    </w:lvl>
  </w:abstractNum>
  <w:abstractNum w:abstractNumId="1530864">
    <w:lvl>
      <w:start w:val="10"/>
      <w:numFmt w:val="decimal"/>
      <w:suff w:val="tab"/>
      <w:lvlText w:val="%1."/>
      <w:rPr>
        <w:color w:val="3370ff"/>
      </w:rPr>
    </w:lvl>
  </w:abstractNum>
  <w:abstractNum w:abstractNumId="1530865">
    <w:lvl>
      <w:start w:val="11"/>
      <w:numFmt w:val="decimal"/>
      <w:suff w:val="tab"/>
      <w:lvlText w:val="%1."/>
      <w:rPr>
        <w:color w:val="3370ff"/>
      </w:rPr>
    </w:lvl>
  </w:abstractNum>
  <w:abstractNum w:abstractNumId="1530866">
    <w:lvl>
      <w:start w:val="12"/>
      <w:numFmt w:val="decimal"/>
      <w:suff w:val="tab"/>
      <w:lvlText w:val="%1."/>
      <w:rPr>
        <w:color w:val="3370ff"/>
      </w:rPr>
    </w:lvl>
  </w:abstractNum>
  <w:abstractNum w:abstractNumId="1530867">
    <w:lvl>
      <w:start w:val="13"/>
      <w:numFmt w:val="decimal"/>
      <w:suff w:val="tab"/>
      <w:lvlText w:val="%1."/>
      <w:rPr>
        <w:color w:val="3370ff"/>
      </w:rPr>
    </w:lvl>
  </w:abstractNum>
  <w:abstractNum w:abstractNumId="1530868">
    <w:lvl>
      <w:start w:val="14"/>
      <w:numFmt w:val="decimal"/>
      <w:suff w:val="tab"/>
      <w:lvlText w:val="%1."/>
      <w:rPr>
        <w:color w:val="3370ff"/>
      </w:rPr>
    </w:lvl>
  </w:abstractNum>
  <w:abstractNum w:abstractNumId="1530869">
    <w:lvl>
      <w:start w:val="15"/>
      <w:numFmt w:val="decimal"/>
      <w:suff w:val="tab"/>
      <w:lvlText w:val="%1."/>
      <w:rPr>
        <w:color w:val="3370ff"/>
      </w:rPr>
    </w:lvl>
  </w:abstractNum>
  <w:abstractNum w:abstractNumId="1530870">
    <w:lvl>
      <w:start w:val="16"/>
      <w:numFmt w:val="decimal"/>
      <w:suff w:val="tab"/>
      <w:lvlText w:val="%1."/>
      <w:rPr>
        <w:color w:val="3370ff"/>
      </w:rPr>
    </w:lvl>
  </w:abstractNum>
  <w:num w:numId="1">
    <w:abstractNumId w:val="1530846"/>
  </w:num>
  <w:num w:numId="2">
    <w:abstractNumId w:val="1530847"/>
  </w:num>
  <w:num w:numId="3">
    <w:abstractNumId w:val="1530848"/>
  </w:num>
  <w:num w:numId="4">
    <w:abstractNumId w:val="1530849"/>
  </w:num>
  <w:num w:numId="5">
    <w:abstractNumId w:val="1530850"/>
  </w:num>
  <w:num w:numId="6">
    <w:abstractNumId w:val="1530851"/>
  </w:num>
  <w:num w:numId="7">
    <w:abstractNumId w:val="1530852"/>
  </w:num>
  <w:num w:numId="8">
    <w:abstractNumId w:val="1530853"/>
  </w:num>
  <w:num w:numId="9">
    <w:abstractNumId w:val="1530854"/>
  </w:num>
  <w:num w:numId="10">
    <w:abstractNumId w:val="1530855"/>
  </w:num>
  <w:num w:numId="11">
    <w:abstractNumId w:val="1530856"/>
  </w:num>
  <w:num w:numId="12">
    <w:abstractNumId w:val="1530857"/>
  </w:num>
  <w:num w:numId="13">
    <w:abstractNumId w:val="1530858"/>
  </w:num>
  <w:num w:numId="14">
    <w:abstractNumId w:val="1530859"/>
  </w:num>
  <w:num w:numId="15">
    <w:abstractNumId w:val="1530860"/>
  </w:num>
  <w:num w:numId="16">
    <w:abstractNumId w:val="1530861"/>
  </w:num>
  <w:num w:numId="17">
    <w:abstractNumId w:val="1530862"/>
  </w:num>
  <w:num w:numId="18">
    <w:abstractNumId w:val="1530863"/>
  </w:num>
  <w:num w:numId="19">
    <w:abstractNumId w:val="1530864"/>
  </w:num>
  <w:num w:numId="20">
    <w:abstractNumId w:val="1530865"/>
  </w:num>
  <w:num w:numId="21">
    <w:abstractNumId w:val="1530866"/>
  </w:num>
  <w:num w:numId="22">
    <w:abstractNumId w:val="1530867"/>
  </w:num>
  <w:num w:numId="23">
    <w:abstractNumId w:val="1530868"/>
  </w:num>
  <w:num w:numId="24">
    <w:abstractNumId w:val="1530869"/>
  </w:num>
  <w:num w:numId="25">
    <w:abstractNumId w:val="15308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ini_program/open?appId=cli_9cb844403dbb9108&amp;mode=appCenter&amp;path=pages/detail/index?instanceId=7611484719816903885&amp;path_pc=pc/pages/in-process/index?instanceId=7611484719816903885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2026-10-10T02:07:20Z</dcterms:created>
  <dc:creator>Apache POI</dc:creator>
</cp:coreProperties>
</file>