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管理处职位定编指导标准</w:t>
      </w:r>
      <w:r>
        <w:rPr>
          <w:rFonts w:eastAsia="等线" w:ascii="Arial" w:cs="Arial" w:hAnsi="Arial"/>
          <w:b w:val="true"/>
          <w:sz w:val="52"/>
        </w:rPr>
        <w:t xml:space="preserve"> </w:t>
      </w:r>
      <w:r>
        <w:rPr>
          <w:rFonts w:eastAsia="等线" w:ascii="Arial" w:cs="Arial" w:hAnsi="Arial"/>
          <w:b w:val="true"/>
          <w:sz w:val="52"/>
        </w:rPr>
        <w:t>CCPG/C-1503-003 F/2</w:t>
      </w:r>
      <w:r>
        <w:rPr>
          <w:rFonts w:eastAsia="等线" w:ascii="Arial" w:cs="Arial" w:hAnsi="Arial"/>
          <w:b w:val="true"/>
          <w:sz w:val="52"/>
        </w:rPr>
        <w:t xml:space="preserve"> </w:t>
      </w:r>
      <w:r>
        <w:rPr>
          <w:rFonts w:eastAsia="等线" w:ascii="Arial" w:cs="Arial" w:hAnsi="Arial"/>
          <w:b w:val="true"/>
          <w:sz w:val="52"/>
        </w:rPr>
        <w:t xml:space="preserve"> -审批版</w:t>
      </w:r>
    </w:p>
    <w:p>
      <w:pPr>
        <w:spacing w:before="120" w:after="120" w:line="288" w:lineRule="auto"/>
        <w:ind w:left="0"/>
        <w:jc w:val="left"/>
      </w:pPr>
      <w:r>
        <w:rPr>
          <w:rFonts w:eastAsia="等线" w:ascii="Arial" w:cs="Arial" w:hAnsi="Arial"/>
          <w:i w:val="true"/>
          <w:color w:val="646a73"/>
          <w:sz w:val="22"/>
        </w:rPr>
        <w:t>该文档相关审批单：</w:t>
      </w:r>
      <w:hyperlink r:id="rId4">
        <w:r>
          <w:rPr>
            <w:rFonts w:eastAsia="等线" w:ascii="Arial" w:cs="Arial" w:hAnsi="Arial"/>
            <w:i w:val="true"/>
            <w:color w:val="3370ff"/>
            <w:sz w:val="22"/>
          </w:rPr>
          <w:t>体系管理审批</w:t>
        </w:r>
      </w:hyperlink>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🏷文控信息卡</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2505"/>
        <w:gridCol w:w="1155"/>
        <w:gridCol w:w="324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管理处职位定编指导</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文件类型</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组织文件</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CCPG/C-1503-003</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版本/版次</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组织层级</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集团</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保密层级</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内部级</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实施日期</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2024/11/01</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文件有效期</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2025/11/01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编写/修订人</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@张家瑶</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编写/修订部门</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人力资源中心</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批准人</w:t>
            </w:r>
          </w:p>
        </w:tc>
        <w:tc>
          <w:tcPr>
            <w:tcW w:w="69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@李志建</w:t>
            </w:r>
          </w:p>
        </w:tc>
        <w:tc>
          <w:tcPr>
            <w:tcW w:w="1155" w:type="dxa"/>
            <w:hMerge w:val="continue"/>
            <w:tcMar>
              <w:top w:type="dxa" w:w="60"/>
              <w:left w:type="dxa" w:w="120"/>
              <w:bottom w:type="dxa" w:w="30"/>
              <w:right w:type="dxa" w:w="120"/>
            </w:tcMar>
          </w:tcPr>
          <w:p>
            <w:pPr>
              <w:spacing w:before="120" w:after="120" w:line="288" w:lineRule="auto"/>
              <w:ind w:left="0"/>
              <w:jc w:val="left"/>
            </w:pPr>
          </w:p>
        </w:tc>
        <w:tc>
          <w:tcPr>
            <w:tcW w:w="3240" w:type="dxa"/>
            <w:hMerge w:val="continue"/>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修订记录</w:t>
            </w:r>
          </w:p>
        </w:tc>
        <w:tc>
          <w:tcPr>
            <w:tcW w:w="69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2024年6月1日：修订发行（F/1）-张家瑶</w:t>
            </w:r>
          </w:p>
          <w:p>
            <w:pPr>
              <w:spacing w:before="120" w:after="120" w:line="288" w:lineRule="auto"/>
              <w:ind w:left="0"/>
              <w:jc w:val="left"/>
            </w:pPr>
            <w:r>
              <w:rPr>
                <w:rFonts w:eastAsia="等线" w:ascii="Arial" w:cs="Arial" w:hAnsi="Arial"/>
                <w:sz w:val="22"/>
              </w:rPr>
              <w:t>基于小飞轮项目内部发布的第九版文件，修订更新关于BMG的定编指导标准，将基于项目等级配置不同的BMG。</w:t>
            </w:r>
          </w:p>
          <w:p>
            <w:pPr>
              <w:spacing w:before="120" w:after="120" w:line="288" w:lineRule="auto"/>
              <w:ind w:left="0"/>
              <w:jc w:val="left"/>
            </w:pPr>
            <w:r>
              <w:rPr>
                <w:rFonts w:eastAsia="等线" w:ascii="Arial" w:cs="Arial" w:hAnsi="Arial"/>
                <w:b w:val="true"/>
                <w:sz w:val="22"/>
              </w:rPr>
              <w:t>2024年11月1日：修订发行（F/</w:t>
            </w:r>
            <w:r>
              <w:rPr>
                <w:rFonts w:eastAsia="等线" w:ascii="Arial" w:cs="Arial" w:hAnsi="Arial"/>
                <w:b w:val="true"/>
                <w:sz w:val="22"/>
              </w:rPr>
              <w:t>2</w:t>
            </w:r>
            <w:r>
              <w:rPr>
                <w:rFonts w:eastAsia="等线" w:ascii="Arial" w:cs="Arial" w:hAnsi="Arial"/>
                <w:b w:val="true"/>
                <w:sz w:val="22"/>
              </w:rPr>
              <w:t>）-张家瑶</w:t>
            </w:r>
          </w:p>
          <w:p>
            <w:pPr>
              <w:spacing w:before="120" w:after="120" w:line="288" w:lineRule="auto"/>
              <w:ind w:left="0"/>
              <w:jc w:val="left"/>
            </w:pPr>
            <w:r>
              <w:rPr>
                <w:rFonts w:eastAsia="等线" w:ascii="Arial" w:cs="Arial" w:hAnsi="Arial"/>
                <w:sz w:val="22"/>
              </w:rPr>
              <w:t>补充修订关于解决方案岗位的兼职要求。</w:t>
            </w:r>
          </w:p>
        </w:tc>
        <w:tc>
          <w:tcPr>
            <w:tcW w:w="1155" w:type="dxa"/>
            <w:hMerge w:val="continue"/>
            <w:tcMar>
              <w:top w:type="dxa" w:w="60"/>
              <w:left w:type="dxa" w:w="120"/>
              <w:bottom w:type="dxa" w:w="30"/>
              <w:right w:type="dxa" w:w="120"/>
            </w:tcMar>
          </w:tcPr>
          <w:p>
            <w:pPr>
              <w:spacing w:before="120" w:after="120" w:line="288" w:lineRule="auto"/>
              <w:ind w:left="0"/>
              <w:jc w:val="left"/>
            </w:pPr>
          </w:p>
        </w:tc>
        <w:tc>
          <w:tcPr>
            <w:tcW w:w="324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*本体系文件已正式发布在长城物业知识库</w:t>
            </w:r>
            <w:hyperlink r:id="rId5">
              <w:r>
                <w:rPr>
                  <w:rFonts w:eastAsia="等线" w:ascii="Arial" w:cs="Arial" w:hAnsi="Arial"/>
                  <w:color w:val="3370ff"/>
                  <w:sz w:val="22"/>
                </w:rPr>
                <w:t>长城物业受控组织文件</w:t>
              </w:r>
            </w:hyperlink>
          </w:p>
        </w:tc>
        <w:tc>
          <w:tcPr>
            <w:tcW w:w="2505" w:type="dxa"/>
            <w:hMerge w:val="continue"/>
            <w:tcMar>
              <w:top w:type="dxa" w:w="60"/>
              <w:left w:type="dxa" w:w="120"/>
              <w:bottom w:type="dxa" w:w="30"/>
              <w:right w:type="dxa" w:w="120"/>
            </w:tcMar>
          </w:tcPr>
          <w:p>
            <w:pPr>
              <w:spacing w:before="120" w:after="120" w:line="288" w:lineRule="auto"/>
              <w:ind w:left="0"/>
              <w:jc w:val="left"/>
            </w:pPr>
          </w:p>
        </w:tc>
        <w:tc>
          <w:tcPr>
            <w:tcW w:w="1155" w:type="dxa"/>
            <w:hMerge w:val="continue"/>
            <w:tcMar>
              <w:top w:type="dxa" w:w="60"/>
              <w:left w:type="dxa" w:w="120"/>
              <w:bottom w:type="dxa" w:w="30"/>
              <w:right w:type="dxa" w:w="120"/>
            </w:tcMar>
          </w:tcPr>
          <w:p>
            <w:pPr>
              <w:spacing w:before="120" w:after="120" w:line="288" w:lineRule="auto"/>
              <w:ind w:left="0"/>
              <w:jc w:val="left"/>
            </w:pPr>
          </w:p>
        </w:tc>
        <w:tc>
          <w:tcPr>
            <w:tcW w:w="3240" w:type="dxa"/>
            <w:hMerge w:val="continue"/>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目的</w:t>
      </w:r>
      <w:bookmarkEnd w:id="0"/>
    </w:p>
    <w:p>
      <w:pPr>
        <w:spacing w:before="120" w:after="120" w:line="288" w:lineRule="auto"/>
        <w:ind w:left="0"/>
        <w:jc w:val="left"/>
      </w:pPr>
      <w:r>
        <w:rPr>
          <w:rFonts w:eastAsia="等线" w:ascii="Arial" w:cs="Arial" w:hAnsi="Arial"/>
          <w:sz w:val="22"/>
        </w:rPr>
        <w:t>为管理处提供职位定编指引和标准。管理处应制定本管理处适用的《定编表》和《角色映射表》，对人员定编、角色和对应的人员进行明确。保证管理处的所有角色职能均有相应的责任人承担。</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适用范围</w:t>
      </w:r>
      <w:bookmarkEnd w:id="1"/>
    </w:p>
    <w:p>
      <w:pPr>
        <w:spacing w:before="120" w:after="120" w:line="288" w:lineRule="auto"/>
        <w:ind w:left="0"/>
        <w:jc w:val="left"/>
      </w:pPr>
      <w:r>
        <w:rPr>
          <w:rFonts w:eastAsia="等线" w:ascii="Arial" w:cs="Arial" w:hAnsi="Arial"/>
          <w:sz w:val="22"/>
        </w:rPr>
        <w:t>适用于各区域事业部的基本经营单元（即管理处、售楼处）。</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角色设置</w:t>
      </w:r>
      <w:r>
        <w:rPr>
          <w:rFonts w:eastAsia="等线" w:ascii="Arial" w:cs="Arial" w:hAnsi="Arial"/>
          <w:b w:val="true"/>
          <w:sz w:val="36"/>
        </w:rPr>
        <w:t>要求</w:t>
      </w:r>
      <w:bookmarkEnd w:id="2"/>
    </w:p>
    <w:p>
      <w:pPr>
        <w:numPr>
          <w:numId w:val="1"/>
        </w:numPr>
        <w:spacing w:before="120" w:after="120" w:line="288" w:lineRule="auto"/>
        <w:ind w:left="453"/>
        <w:jc w:val="left"/>
      </w:pPr>
      <w:r>
        <w:rPr>
          <w:rFonts w:eastAsia="等线" w:ascii="Arial" w:cs="Arial" w:hAnsi="Arial"/>
          <w:sz w:val="22"/>
        </w:rPr>
        <w:t>管理处角色设置是用于明确目前定编无法覆盖的相关管理处必备职责的分工情况，需呈现在《管理处角色映射表》并明确具体对应的人员。</w:t>
      </w:r>
    </w:p>
    <w:p>
      <w:pPr>
        <w:numPr>
          <w:numId w:val="2"/>
        </w:numPr>
        <w:spacing w:before="120" w:after="120" w:line="288" w:lineRule="auto"/>
        <w:ind w:left="453"/>
        <w:jc w:val="left"/>
      </w:pPr>
      <w:r>
        <w:rPr>
          <w:rFonts w:eastAsia="等线" w:ascii="Arial" w:cs="Arial" w:hAnsi="Arial"/>
          <w:sz w:val="22"/>
        </w:rPr>
        <w:t>该角色的资质对管理处工作有较大影响的，是不可或缺的。</w:t>
      </w:r>
    </w:p>
    <w:p>
      <w:pPr>
        <w:numPr>
          <w:numId w:val="3"/>
        </w:numPr>
        <w:spacing w:before="120" w:after="120" w:line="288" w:lineRule="auto"/>
        <w:ind w:left="453"/>
        <w:jc w:val="left"/>
      </w:pPr>
      <w:r>
        <w:rPr>
          <w:rFonts w:eastAsia="等线" w:ascii="Arial" w:cs="Arial" w:hAnsi="Arial"/>
          <w:sz w:val="22"/>
        </w:rPr>
        <w:t>该角色的职责是在现有职位得职位说明书中没有描述的。</w:t>
      </w:r>
    </w:p>
    <w:p>
      <w:pPr>
        <w:numPr>
          <w:numId w:val="4"/>
        </w:numPr>
        <w:spacing w:before="120" w:after="120" w:line="288" w:lineRule="auto"/>
        <w:ind w:left="453"/>
        <w:jc w:val="left"/>
      </w:pPr>
      <w:r>
        <w:rPr>
          <w:rFonts w:eastAsia="等线" w:ascii="Arial" w:cs="Arial" w:hAnsi="Arial"/>
          <w:sz w:val="22"/>
        </w:rPr>
        <w:t>该角色的担任者是可以非固定的，而不是必须由某职位固定担任的。如必须由某职位固定担任的，应将相关职责补充进该职位的职位说明书。</w:t>
      </w:r>
    </w:p>
    <w:p>
      <w:pPr>
        <w:numPr>
          <w:numId w:val="5"/>
        </w:numPr>
        <w:spacing w:before="120" w:after="120" w:line="288" w:lineRule="auto"/>
        <w:ind w:left="453"/>
        <w:jc w:val="left"/>
      </w:pPr>
      <w:r>
        <w:rPr>
          <w:rFonts w:eastAsia="等线" w:ascii="Arial" w:cs="Arial" w:hAnsi="Arial"/>
          <w:sz w:val="22"/>
        </w:rPr>
        <w:t>管理处不得私自增加角色。如因特殊原因需要增加角色的，应通过正规渠道报文件编制部门补充进《管理处角色映射表》。</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职位定编总体要求</w:t>
      </w:r>
      <w:bookmarkEnd w:id="3"/>
    </w:p>
    <w:p>
      <w:pPr>
        <w:numPr>
          <w:numId w:val="6"/>
        </w:numPr>
        <w:spacing w:before="120" w:after="120" w:line="288" w:lineRule="auto"/>
        <w:ind w:left="453"/>
        <w:jc w:val="left"/>
      </w:pPr>
      <w:r>
        <w:rPr>
          <w:rFonts w:eastAsia="等线" w:ascii="Arial" w:cs="Arial" w:hAnsi="Arial"/>
          <w:sz w:val="22"/>
        </w:rPr>
        <w:t>以下定编标准均为指导性标准，管理处定编应首先需根据投标文件、物业服务合同约定，按项目品质要求、收入、利润目标的要求进行定编。如亏损或未达到利润目标，应低于</w:t>
      </w:r>
      <w:r>
        <w:rPr>
          <w:rFonts w:eastAsia="等线" w:ascii="Arial" w:cs="Arial" w:hAnsi="Arial"/>
          <w:sz w:val="22"/>
        </w:rPr>
        <w:t>本</w:t>
      </w:r>
      <w:r>
        <w:rPr>
          <w:rFonts w:eastAsia="等线" w:ascii="Arial" w:cs="Arial" w:hAnsi="Arial"/>
          <w:sz w:val="22"/>
        </w:rPr>
        <w:t>定编</w:t>
      </w:r>
      <w:r>
        <w:rPr>
          <w:rFonts w:eastAsia="等线" w:ascii="Arial" w:cs="Arial" w:hAnsi="Arial"/>
          <w:sz w:val="22"/>
        </w:rPr>
        <w:t>指导</w:t>
      </w:r>
      <w:r>
        <w:rPr>
          <w:rFonts w:eastAsia="等线" w:ascii="Arial" w:cs="Arial" w:hAnsi="Arial"/>
          <w:sz w:val="22"/>
        </w:rPr>
        <w:t>标准。</w:t>
      </w:r>
    </w:p>
    <w:p>
      <w:pPr>
        <w:numPr>
          <w:numId w:val="7"/>
        </w:numPr>
        <w:spacing w:before="120" w:after="120" w:line="288" w:lineRule="auto"/>
        <w:ind w:left="453"/>
        <w:jc w:val="left"/>
      </w:pPr>
      <w:r>
        <w:rPr>
          <w:rFonts w:eastAsia="等线" w:ascii="Arial" w:cs="Arial" w:hAnsi="Arial"/>
          <w:sz w:val="22"/>
        </w:rPr>
        <w:t>项目的等级标准，以《管理处项目等级定级指导标准》规定为准。</w:t>
      </w:r>
    </w:p>
    <w:p>
      <w:pPr>
        <w:numPr>
          <w:numId w:val="8"/>
        </w:numPr>
        <w:spacing w:before="120" w:after="120" w:line="288" w:lineRule="auto"/>
        <w:ind w:left="453"/>
        <w:jc w:val="left"/>
      </w:pPr>
      <w:r>
        <w:rPr>
          <w:rFonts w:eastAsia="等线" w:ascii="Arial" w:cs="Arial" w:hAnsi="Arial"/>
          <w:sz w:val="22"/>
        </w:rPr>
        <w:t>综合体项目（多业态），人员配置依据业态按相应编制标准分别配置。</w:t>
      </w:r>
    </w:p>
    <w:p>
      <w:pPr>
        <w:numPr>
          <w:numId w:val="9"/>
        </w:numPr>
        <w:spacing w:before="120" w:after="120" w:line="288" w:lineRule="auto"/>
        <w:ind w:left="453"/>
        <w:jc w:val="left"/>
      </w:pPr>
      <w:r>
        <w:rPr>
          <w:rFonts w:eastAsia="等线" w:ascii="Arial" w:cs="Arial" w:hAnsi="Arial"/>
          <w:sz w:val="22"/>
        </w:rPr>
        <w:t>如有特殊编制要求，需流程报备，由区域事业部TC批准。例如酬金制或业委会要求情形下的特殊职位需要等。</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5. </w:t>
      </w:r>
      <w:r>
        <w:rPr>
          <w:rFonts w:eastAsia="等线" w:ascii="Arial" w:cs="Arial" w:hAnsi="Arial"/>
          <w:b w:val="true"/>
          <w:sz w:val="36"/>
        </w:rPr>
        <w:t>管理处BMG</w:t>
      </w:r>
      <w:r>
        <w:rPr>
          <w:rFonts w:eastAsia="等线" w:ascii="Arial" w:cs="Arial" w:hAnsi="Arial"/>
          <w:b w:val="true"/>
          <w:sz w:val="36"/>
        </w:rPr>
        <w:t>职位设置原则和定编标准</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10"/>
        <w:gridCol w:w="6570"/>
      </w:tblGrid>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职位</w:t>
            </w:r>
          </w:p>
        </w:tc>
        <w:tc>
          <w:tcPr>
            <w:tcW w:w="65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配置</w:t>
            </w:r>
            <w:r>
              <w:rPr>
                <w:rFonts w:eastAsia="等线" w:ascii="Arial" w:cs="Arial" w:hAnsi="Arial"/>
                <w:b w:val="true"/>
                <w:sz w:val="22"/>
              </w:rPr>
              <w:t>原则</w:t>
            </w:r>
            <w:r>
              <w:rPr>
                <w:rFonts w:eastAsia="等线" w:ascii="Arial" w:cs="Arial" w:hAnsi="Arial"/>
                <w:b w:val="true"/>
                <w:sz w:val="22"/>
              </w:rPr>
              <w:t>及标准</w:t>
            </w:r>
          </w:p>
        </w:tc>
      </w:tr>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项目经理</w:t>
            </w:r>
          </w:p>
        </w:tc>
        <w:tc>
          <w:tcPr>
            <w:tcW w:w="6570"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z w:val="22"/>
              </w:rPr>
              <w:t>编制为1</w:t>
            </w:r>
            <w:r>
              <w:rPr>
                <w:rFonts w:eastAsia="等线" w:ascii="Arial" w:cs="Arial" w:hAnsi="Arial"/>
                <w:sz w:val="22"/>
              </w:rPr>
              <w:t>。</w:t>
            </w:r>
          </w:p>
          <w:p>
            <w:pPr>
              <w:numPr>
                <w:numId w:val="11"/>
              </w:numPr>
              <w:spacing w:before="120" w:after="120" w:line="288" w:lineRule="auto"/>
              <w:ind w:left="0"/>
              <w:jc w:val="left"/>
            </w:pPr>
            <w:r>
              <w:rPr>
                <w:rFonts w:eastAsia="等线" w:ascii="Arial" w:cs="Arial" w:hAnsi="Arial"/>
                <w:sz w:val="22"/>
              </w:rPr>
              <w:t>如项目为兼管，编制为0。</w:t>
            </w:r>
          </w:p>
          <w:p>
            <w:pPr>
              <w:numPr>
                <w:numId w:val="12"/>
              </w:numPr>
              <w:spacing w:before="120" w:after="120" w:line="288" w:lineRule="auto"/>
              <w:ind w:left="0"/>
              <w:jc w:val="left"/>
            </w:pPr>
            <w:r>
              <w:rPr>
                <w:rFonts w:eastAsia="等线" w:ascii="Arial" w:cs="Arial" w:hAnsi="Arial"/>
                <w:sz w:val="22"/>
              </w:rPr>
              <w:t>管理处经理需负责多经业务和社区商务的经营管理活动，管理处不应配置专人进行多经业务和社区商务管理工作。</w:t>
            </w:r>
          </w:p>
        </w:tc>
      </w:tr>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管理处</w:t>
            </w:r>
          </w:p>
          <w:p>
            <w:pPr>
              <w:spacing w:before="120" w:after="120" w:line="288" w:lineRule="auto"/>
              <w:ind w:left="0" w:firstLine="0"/>
              <w:jc w:val="center"/>
            </w:pPr>
            <w:r>
              <w:rPr>
                <w:rFonts w:eastAsia="等线" w:ascii="Arial" w:cs="Arial" w:hAnsi="Arial"/>
                <w:b w:val="true"/>
                <w:sz w:val="22"/>
              </w:rPr>
              <w:t>解决方案经理/助理</w:t>
            </w:r>
          </w:p>
        </w:tc>
        <w:tc>
          <w:tcPr>
            <w:tcW w:w="6570" w:type="dxa"/>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sz w:val="22"/>
              </w:rPr>
              <w:t>编制为0，必须由项目经理兼任。</w:t>
            </w:r>
          </w:p>
          <w:p>
            <w:pPr>
              <w:numPr>
                <w:numId w:val="14"/>
              </w:numPr>
              <w:spacing w:before="120" w:after="120" w:line="288" w:lineRule="auto"/>
              <w:ind w:left="0"/>
              <w:jc w:val="left"/>
            </w:pPr>
            <w:r>
              <w:rPr>
                <w:rFonts w:eastAsia="等线" w:ascii="Arial" w:cs="Arial" w:hAnsi="Arial"/>
                <w:sz w:val="22"/>
              </w:rPr>
              <w:t>项目等级达到“B级”及以上的，兼任“管理处解决方案经理”；</w:t>
            </w:r>
          </w:p>
          <w:p>
            <w:pPr>
              <w:numPr>
                <w:numId w:val="15"/>
              </w:numPr>
              <w:spacing w:before="120" w:after="120" w:line="288" w:lineRule="auto"/>
              <w:ind w:left="0"/>
              <w:jc w:val="left"/>
            </w:pPr>
            <w:r>
              <w:rPr>
                <w:rFonts w:eastAsia="等线" w:ascii="Arial" w:cs="Arial" w:hAnsi="Arial"/>
                <w:sz w:val="22"/>
              </w:rPr>
              <w:t>项目等级为“C级”的，兼任“管理处解决方案助理”。</w:t>
            </w:r>
          </w:p>
        </w:tc>
      </w:tr>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管理处</w:t>
            </w:r>
          </w:p>
          <w:p>
            <w:pPr>
              <w:spacing w:before="120" w:after="120" w:line="288" w:lineRule="auto"/>
              <w:ind w:left="0" w:firstLine="0"/>
              <w:jc w:val="center"/>
            </w:pPr>
            <w:r>
              <w:rPr>
                <w:rFonts w:eastAsia="等线" w:ascii="Arial" w:cs="Arial" w:hAnsi="Arial"/>
                <w:b w:val="true"/>
                <w:sz w:val="22"/>
              </w:rPr>
              <w:t>运营交付经理</w:t>
            </w:r>
            <w:r>
              <w:rPr>
                <w:rFonts w:eastAsia="等线" w:ascii="Arial" w:cs="Arial" w:hAnsi="Arial"/>
                <w:b w:val="true"/>
                <w:sz w:val="22"/>
              </w:rPr>
              <w:t>/</w:t>
            </w:r>
            <w:r>
              <w:rPr>
                <w:rFonts w:eastAsia="等线" w:ascii="Arial" w:cs="Arial" w:hAnsi="Arial"/>
                <w:b w:val="true"/>
                <w:sz w:val="22"/>
              </w:rPr>
              <w:t>助理</w:t>
            </w:r>
          </w:p>
        </w:tc>
        <w:tc>
          <w:tcPr>
            <w:tcW w:w="6570" w:type="dxa"/>
            <w:tcMar>
              <w:top w:type="dxa" w:w="60"/>
              <w:left w:type="dxa" w:w="120"/>
              <w:bottom w:type="dxa" w:w="30"/>
              <w:right w:type="dxa" w:w="120"/>
            </w:tcMar>
          </w:tcPr>
          <w:p>
            <w:pPr>
              <w:numPr>
                <w:numId w:val="16"/>
              </w:numPr>
              <w:spacing w:before="120" w:after="120" w:line="288" w:lineRule="auto"/>
              <w:ind w:left="0"/>
              <w:jc w:val="left"/>
            </w:pPr>
            <w:r>
              <w:rPr>
                <w:rFonts w:eastAsia="等线" w:ascii="Arial" w:cs="Arial" w:hAnsi="Arial"/>
                <w:sz w:val="22"/>
              </w:rPr>
              <w:t>项目等级达到“B级”及以上的：配置1名“管理处运营交付经理”，定编为1。</w:t>
            </w:r>
          </w:p>
          <w:p>
            <w:pPr>
              <w:numPr>
                <w:numId w:val="17"/>
              </w:numPr>
              <w:spacing w:before="120" w:after="120" w:line="288" w:lineRule="auto"/>
              <w:ind w:left="0"/>
              <w:jc w:val="left"/>
            </w:pPr>
            <w:r>
              <w:rPr>
                <w:rFonts w:eastAsia="等线" w:ascii="Arial" w:cs="Arial" w:hAnsi="Arial"/>
                <w:sz w:val="22"/>
              </w:rPr>
              <w:t>项目等级为“C级”的：由管理处其他岗位兼任“管理处运营交付助理”，定编为0。</w:t>
            </w:r>
          </w:p>
        </w:tc>
      </w:tr>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管理处</w:t>
            </w:r>
          </w:p>
          <w:p>
            <w:pPr>
              <w:spacing w:before="120" w:after="120" w:line="288" w:lineRule="auto"/>
              <w:ind w:left="0" w:firstLine="0"/>
              <w:jc w:val="center"/>
            </w:pPr>
            <w:r>
              <w:rPr>
                <w:rFonts w:eastAsia="等线" w:ascii="Arial" w:cs="Arial" w:hAnsi="Arial"/>
                <w:b w:val="true"/>
                <w:sz w:val="22"/>
              </w:rPr>
              <w:t>客户关系经理</w:t>
            </w:r>
            <w:r>
              <w:rPr>
                <w:rFonts w:eastAsia="等线" w:ascii="Arial" w:cs="Arial" w:hAnsi="Arial"/>
                <w:b w:val="true"/>
                <w:sz w:val="22"/>
              </w:rPr>
              <w:t>/</w:t>
            </w:r>
            <w:r>
              <w:rPr>
                <w:rFonts w:eastAsia="等线" w:ascii="Arial" w:cs="Arial" w:hAnsi="Arial"/>
                <w:b w:val="true"/>
                <w:sz w:val="22"/>
              </w:rPr>
              <w:t>助理</w:t>
            </w:r>
          </w:p>
        </w:tc>
        <w:tc>
          <w:tcPr>
            <w:tcW w:w="6570" w:type="dxa"/>
            <w:tcMar>
              <w:top w:type="dxa" w:w="60"/>
              <w:left w:type="dxa" w:w="120"/>
              <w:bottom w:type="dxa" w:w="30"/>
              <w:right w:type="dxa" w:w="120"/>
            </w:tcMar>
          </w:tcPr>
          <w:p>
            <w:pPr>
              <w:numPr>
                <w:numId w:val="18"/>
              </w:numPr>
              <w:spacing w:before="120" w:after="120" w:line="288" w:lineRule="auto"/>
              <w:ind w:left="0"/>
              <w:jc w:val="left"/>
            </w:pPr>
            <w:r>
              <w:rPr>
                <w:rFonts w:eastAsia="等线" w:ascii="Arial" w:cs="Arial" w:hAnsi="Arial"/>
                <w:sz w:val="22"/>
              </w:rPr>
              <w:t>项目等级达到“B级”及以上的：配置1名“管理处客户关系经理”，定编为1。</w:t>
            </w:r>
          </w:p>
          <w:p>
            <w:pPr>
              <w:numPr>
                <w:numId w:val="19"/>
              </w:numPr>
              <w:spacing w:before="120" w:after="120" w:line="288" w:lineRule="auto"/>
              <w:ind w:left="0"/>
              <w:jc w:val="left"/>
            </w:pPr>
            <w:r>
              <w:rPr>
                <w:rFonts w:eastAsia="等线" w:ascii="Arial" w:cs="Arial" w:hAnsi="Arial"/>
                <w:sz w:val="22"/>
              </w:rPr>
              <w:t>项目等级为“C级”的：由管理处其他岗位兼任“管理处客户关系助理”，定编为0。</w:t>
            </w:r>
          </w:p>
          <w:p>
            <w:pPr>
              <w:numPr>
                <w:numId w:val="20"/>
              </w:numPr>
              <w:spacing w:before="120" w:after="120" w:line="288" w:lineRule="auto"/>
              <w:ind w:left="0"/>
              <w:jc w:val="left"/>
            </w:pPr>
            <w:r>
              <w:rPr>
                <w:rFonts w:eastAsia="等线" w:ascii="Arial" w:cs="Arial" w:hAnsi="Arial"/>
                <w:sz w:val="22"/>
              </w:rPr>
              <w:t>单一产权业主</w:t>
            </w:r>
            <w:r>
              <w:rPr>
                <w:rFonts w:eastAsia="等线" w:ascii="Arial" w:cs="Arial" w:hAnsi="Arial"/>
                <w:sz w:val="22"/>
              </w:rPr>
              <w:t>的，</w:t>
            </w:r>
            <w:r>
              <w:rPr>
                <w:rFonts w:eastAsia="等线" w:ascii="Arial" w:cs="Arial" w:hAnsi="Arial"/>
                <w:sz w:val="22"/>
              </w:rPr>
              <w:t>可由项目经理兼任</w:t>
            </w:r>
            <w:r>
              <w:rPr>
                <w:rFonts w:eastAsia="等线" w:ascii="Arial" w:cs="Arial" w:hAnsi="Arial"/>
                <w:sz w:val="22"/>
              </w:rPr>
              <w:t>。</w:t>
            </w:r>
          </w:p>
        </w:tc>
      </w:tr>
    </w:tbl>
    <w:p>
      <w:pPr>
        <w:pStyle w:val="1"/>
        <w:spacing w:before="380" w:after="140" w:line="288" w:lineRule="auto"/>
        <w:ind w:left="0"/>
        <w:jc w:val="left"/>
        <w:outlineLvl w:val="0"/>
      </w:pPr>
      <w:bookmarkStart w:name="heading_5" w:id="5"/>
      <w:r>
        <w:rPr>
          <w:rFonts w:eastAsia="等线" w:ascii="Arial" w:cs="Arial" w:hAnsi="Arial"/>
          <w:color w:val="3370ff"/>
          <w:sz w:val="36"/>
        </w:rPr>
        <w:t xml:space="preserve">6. </w:t>
      </w:r>
      <w:r>
        <w:rPr>
          <w:rFonts w:eastAsia="等线" w:ascii="Arial" w:cs="Arial" w:hAnsi="Arial"/>
          <w:b w:val="true"/>
          <w:sz w:val="36"/>
        </w:rPr>
        <w:t>专业类（P类）职位设置原则和定编标准</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7005"/>
      </w:tblGrid>
      <w:tr>
        <w:tc>
          <w:tcPr>
            <w:tcW w:w="127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职位</w:t>
            </w:r>
          </w:p>
        </w:tc>
        <w:tc>
          <w:tcPr>
            <w:tcW w:w="700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配置</w:t>
            </w:r>
            <w:r>
              <w:rPr>
                <w:rFonts w:eastAsia="等线" w:ascii="Arial" w:cs="Arial" w:hAnsi="Arial"/>
                <w:b w:val="true"/>
                <w:sz w:val="22"/>
              </w:rPr>
              <w:t>原</w:t>
            </w:r>
            <w:r>
              <w:rPr>
                <w:rFonts w:eastAsia="等线" w:ascii="Arial" w:cs="Arial" w:hAnsi="Arial"/>
                <w:b w:val="true"/>
                <w:sz w:val="22"/>
              </w:rPr>
              <w:t>则</w:t>
            </w:r>
            <w:r>
              <w:rPr>
                <w:rFonts w:eastAsia="等线" w:ascii="Arial" w:cs="Arial" w:hAnsi="Arial"/>
                <w:b w:val="true"/>
                <w:sz w:val="22"/>
              </w:rPr>
              <w:t>及标准</w:t>
            </w:r>
          </w:p>
        </w:tc>
      </w:tr>
      <w:tr>
        <w:tc>
          <w:tcPr>
            <w:tcW w:w="1275"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客户管家</w:t>
            </w:r>
          </w:p>
          <w:p>
            <w:pPr>
              <w:spacing w:before="120" w:after="120" w:line="288" w:lineRule="auto"/>
              <w:ind w:left="0" w:firstLine="0"/>
              <w:jc w:val="center"/>
            </w:pPr>
            <w:r>
              <w:rPr>
                <w:rFonts w:eastAsia="等线" w:ascii="Arial" w:cs="Arial" w:hAnsi="Arial"/>
                <w:b w:val="true"/>
                <w:sz w:val="22"/>
              </w:rPr>
              <w:t>（住宅）</w:t>
            </w:r>
          </w:p>
        </w:tc>
        <w:tc>
          <w:tcPr>
            <w:tcW w:w="7005" w:type="dxa"/>
            <w:vMerge w:val="restart"/>
            <w:tcMar>
              <w:top w:type="dxa" w:w="60"/>
              <w:left w:type="dxa" w:w="120"/>
              <w:bottom w:type="dxa" w:w="30"/>
              <w:right w:type="dxa" w:w="120"/>
            </w:tcMar>
          </w:tcPr>
          <w:p>
            <w:pPr>
              <w:numPr>
                <w:numId w:val="21"/>
              </w:numPr>
              <w:spacing w:before="120" w:after="120" w:line="288" w:lineRule="auto"/>
              <w:ind w:left="0"/>
              <w:jc w:val="left"/>
            </w:pPr>
            <w:r>
              <w:rPr>
                <w:rFonts w:eastAsia="等线" w:ascii="Arial" w:cs="Arial" w:hAnsi="Arial"/>
                <w:sz w:val="22"/>
              </w:rPr>
              <w:t>每300-400户配置1名</w:t>
            </w:r>
            <w:r>
              <w:rPr>
                <w:rFonts w:eastAsia="等线" w:ascii="Arial" w:cs="Arial" w:hAnsi="Arial"/>
                <w:sz w:val="22"/>
              </w:rPr>
              <w:t>。</w:t>
            </w:r>
            <w:r>
              <w:rPr>
                <w:rFonts w:eastAsia="等线" w:ascii="Arial" w:cs="Arial" w:hAnsi="Arial"/>
                <w:sz w:val="22"/>
              </w:rPr>
              <w:t>可根据项目类型、服务标准等因素上下浮动，但最高不得多于600户，最低不得少于150户。</w:t>
            </w:r>
          </w:p>
          <w:p>
            <w:pPr>
              <w:numPr>
                <w:numId w:val="22"/>
              </w:numPr>
              <w:spacing w:before="120" w:after="120" w:line="288" w:lineRule="auto"/>
              <w:ind w:left="0"/>
              <w:jc w:val="left"/>
            </w:pPr>
            <w:r>
              <w:rPr>
                <w:rFonts w:eastAsia="等线" w:ascii="Arial" w:cs="Arial" w:hAnsi="Arial"/>
                <w:sz w:val="22"/>
              </w:rPr>
              <w:t>项目需实行网格全覆盖，每个网格需有专人负责，居住物业的客户管家岗位不允许存在无网格现象。</w:t>
            </w:r>
          </w:p>
          <w:p>
            <w:pPr>
              <w:numPr>
                <w:numId w:val="23"/>
              </w:numPr>
              <w:spacing w:before="120" w:after="120" w:line="288" w:lineRule="auto"/>
              <w:ind w:left="0"/>
              <w:jc w:val="left"/>
            </w:pPr>
            <w:r>
              <w:rPr>
                <w:rFonts w:eastAsia="等线" w:ascii="Arial" w:cs="Arial" w:hAnsi="Arial"/>
                <w:sz w:val="22"/>
              </w:rPr>
              <w:t>客户管家与专业主管不可相互兼职，但客户管家可兼职综合事务主管。</w:t>
            </w:r>
          </w:p>
        </w:tc>
      </w:tr>
      <w:tr>
        <w:tc>
          <w:tcPr>
            <w:tcW w:w="1275" w:type="dxa"/>
            <w:vMerge w:val="continue"/>
            <w:tcMar>
              <w:top w:type="dxa" w:w="60"/>
              <w:left w:type="dxa" w:w="120"/>
              <w:bottom w:type="dxa" w:w="30"/>
              <w:right w:type="dxa" w:w="120"/>
            </w:tcMar>
          </w:tcPr>
          <w:p>
            <w:pPr>
              <w:spacing w:before="120" w:after="120" w:line="288" w:lineRule="auto"/>
              <w:ind w:left="0"/>
              <w:jc w:val="left"/>
            </w:pPr>
          </w:p>
        </w:tc>
        <w:tc>
          <w:tcPr>
            <w:tcW w:w="7005" w:type="dxa"/>
            <w:vMerge w:val="continue"/>
            <w:tcMar>
              <w:top w:type="dxa" w:w="60"/>
              <w:left w:type="dxa" w:w="120"/>
              <w:bottom w:type="dxa" w:w="30"/>
              <w:right w:type="dxa" w:w="120"/>
            </w:tcMar>
          </w:tcPr>
          <w:p>
            <w:pPr>
              <w:spacing w:before="120" w:after="120" w:line="288" w:lineRule="auto"/>
              <w:ind w:left="0"/>
              <w:jc w:val="left"/>
            </w:pPr>
          </w:p>
        </w:tc>
      </w:tr>
      <w:tr>
        <w:tc>
          <w:tcPr>
            <w:tcW w:w="1275" w:type="dxa"/>
            <w:vMerge w:val="continue"/>
            <w:tcMar>
              <w:top w:type="dxa" w:w="60"/>
              <w:left w:type="dxa" w:w="120"/>
              <w:bottom w:type="dxa" w:w="30"/>
              <w:right w:type="dxa" w:w="120"/>
            </w:tcMar>
          </w:tcPr>
          <w:p>
            <w:pPr>
              <w:spacing w:before="120" w:after="120" w:line="288" w:lineRule="auto"/>
              <w:ind w:left="0"/>
              <w:jc w:val="left"/>
            </w:pPr>
          </w:p>
        </w:tc>
        <w:tc>
          <w:tcPr>
            <w:tcW w:w="7005" w:type="dxa"/>
            <w:vMerge w:val="continue"/>
            <w:tcMar>
              <w:top w:type="dxa" w:w="60"/>
              <w:left w:type="dxa" w:w="120"/>
              <w:bottom w:type="dxa" w:w="30"/>
              <w:right w:type="dxa" w:w="120"/>
            </w:tcMar>
          </w:tcPr>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客服专员</w:t>
            </w:r>
          </w:p>
          <w:p>
            <w:pPr>
              <w:spacing w:before="120" w:after="120" w:line="288" w:lineRule="auto"/>
              <w:ind w:left="0" w:firstLine="0"/>
              <w:jc w:val="center"/>
            </w:pPr>
            <w:r>
              <w:rPr>
                <w:rFonts w:eastAsia="等线" w:ascii="Arial" w:cs="Arial" w:hAnsi="Arial"/>
                <w:b w:val="true"/>
                <w:sz w:val="22"/>
              </w:rPr>
              <w:t>（商用/公建）</w:t>
            </w:r>
          </w:p>
        </w:tc>
        <w:tc>
          <w:tcPr>
            <w:tcW w:w="7005" w:type="dxa"/>
            <w:tcMar>
              <w:top w:type="dxa" w:w="60"/>
              <w:left w:type="dxa" w:w="120"/>
              <w:bottom w:type="dxa" w:w="30"/>
              <w:right w:type="dxa" w:w="120"/>
            </w:tcMar>
          </w:tcPr>
          <w:p>
            <w:pPr>
              <w:numPr>
                <w:numId w:val="24"/>
              </w:numPr>
              <w:spacing w:before="120" w:after="120" w:line="288" w:lineRule="auto"/>
              <w:ind w:left="0"/>
              <w:jc w:val="left"/>
            </w:pPr>
            <w:r>
              <w:rPr>
                <w:rFonts w:eastAsia="等线" w:ascii="Arial" w:cs="Arial" w:hAnsi="Arial"/>
                <w:sz w:val="22"/>
              </w:rPr>
              <w:t>按建筑面积每60000平米配置</w:t>
            </w:r>
            <w:r>
              <w:rPr>
                <w:rFonts w:eastAsia="等线" w:ascii="Arial" w:cs="Arial" w:hAnsi="Arial"/>
                <w:sz w:val="22"/>
              </w:rPr>
              <w:t>1人</w:t>
            </w:r>
            <w:r>
              <w:rPr>
                <w:rFonts w:eastAsia="等线" w:ascii="Arial" w:cs="Arial" w:hAnsi="Arial"/>
                <w:sz w:val="22"/>
              </w:rPr>
              <w:t>。</w:t>
            </w:r>
          </w:p>
          <w:p>
            <w:pPr>
              <w:numPr>
                <w:numId w:val="25"/>
              </w:numPr>
              <w:spacing w:before="120" w:after="120" w:line="288" w:lineRule="auto"/>
              <w:ind w:left="0"/>
              <w:jc w:val="left"/>
            </w:pPr>
            <w:r>
              <w:rPr>
                <w:rFonts w:eastAsia="等线" w:ascii="Arial" w:cs="Arial" w:hAnsi="Arial"/>
                <w:sz w:val="22"/>
              </w:rPr>
              <w:t>可同时兼职专业主管及综合事务主管。</w:t>
            </w:r>
          </w:p>
        </w:tc>
      </w:tr>
      <w:tr>
        <w:tc>
          <w:tcPr>
            <w:tcW w:w="127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礼宾司</w:t>
            </w:r>
          </w:p>
          <w:p>
            <w:pPr>
              <w:spacing w:before="120" w:after="120" w:line="288" w:lineRule="auto"/>
              <w:ind w:left="0" w:firstLine="0"/>
              <w:jc w:val="center"/>
            </w:pPr>
            <w:r>
              <w:rPr>
                <w:rFonts w:eastAsia="等线" w:ascii="Arial" w:cs="Arial" w:hAnsi="Arial"/>
                <w:b w:val="true"/>
                <w:sz w:val="22"/>
              </w:rPr>
              <w:t>（商用/公建）</w:t>
            </w:r>
          </w:p>
        </w:tc>
        <w:tc>
          <w:tcPr>
            <w:tcW w:w="7005" w:type="dxa"/>
            <w:tcMar>
              <w:top w:type="dxa" w:w="60"/>
              <w:left w:type="dxa" w:w="120"/>
              <w:bottom w:type="dxa" w:w="30"/>
              <w:right w:type="dxa" w:w="120"/>
            </w:tcMar>
          </w:tcPr>
          <w:p>
            <w:pPr>
              <w:numPr>
                <w:numId w:val="26"/>
              </w:numPr>
              <w:spacing w:before="120" w:after="120" w:line="288" w:lineRule="auto"/>
              <w:ind w:left="0"/>
              <w:jc w:val="left"/>
            </w:pPr>
            <w:r>
              <w:rPr>
                <w:rFonts w:eastAsia="等线" w:ascii="Arial" w:cs="Arial" w:hAnsi="Arial"/>
                <w:sz w:val="22"/>
              </w:rPr>
              <w:t>商用：超甲级写字楼可配置1名礼宾司。</w:t>
            </w:r>
          </w:p>
          <w:p>
            <w:pPr>
              <w:numPr>
                <w:numId w:val="27"/>
              </w:numPr>
              <w:spacing w:before="120" w:after="120" w:line="288" w:lineRule="auto"/>
              <w:ind w:left="0"/>
              <w:jc w:val="left"/>
            </w:pPr>
            <w:r>
              <w:rPr>
                <w:rFonts w:eastAsia="等线" w:ascii="Arial" w:cs="Arial" w:hAnsi="Arial"/>
                <w:sz w:val="22"/>
              </w:rPr>
              <w:t>公建：按项目需求。</w:t>
            </w:r>
          </w:p>
          <w:p>
            <w:pPr>
              <w:numPr>
                <w:numId w:val="28"/>
              </w:numPr>
              <w:spacing w:before="120" w:after="120" w:line="288" w:lineRule="auto"/>
              <w:ind w:left="0"/>
              <w:jc w:val="left"/>
            </w:pPr>
            <w:r>
              <w:rPr>
                <w:rFonts w:eastAsia="等线" w:ascii="Arial" w:cs="Arial" w:hAnsi="Arial"/>
                <w:sz w:val="22"/>
              </w:rPr>
              <w:t>与“客服经理”不能同时设置，如超大型项目或事业部直管项目存在业务需要，可上报区域事业部SC申请同时设置。</w:t>
            </w:r>
          </w:p>
        </w:tc>
      </w:tr>
      <w:tr>
        <w:tc>
          <w:tcPr>
            <w:tcW w:w="127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综合事务主管</w:t>
            </w:r>
          </w:p>
        </w:tc>
        <w:tc>
          <w:tcPr>
            <w:tcW w:w="7005" w:type="dxa"/>
            <w:tcMar>
              <w:top w:type="dxa" w:w="60"/>
              <w:left w:type="dxa" w:w="120"/>
              <w:bottom w:type="dxa" w:w="30"/>
              <w:right w:type="dxa" w:w="120"/>
            </w:tcMar>
          </w:tcPr>
          <w:p>
            <w:pPr>
              <w:numPr>
                <w:numId w:val="29"/>
              </w:numPr>
              <w:spacing w:before="120" w:after="120" w:line="288" w:lineRule="auto"/>
              <w:ind w:left="0"/>
              <w:jc w:val="left"/>
            </w:pPr>
            <w:r>
              <w:rPr>
                <w:rFonts w:eastAsia="等线" w:ascii="Arial" w:cs="Arial" w:hAnsi="Arial"/>
                <w:sz w:val="22"/>
              </w:rPr>
              <w:t>管理处自管员工（含秩序环境事业部员工）定编人数超过20人时</w:t>
            </w:r>
            <w:r>
              <w:rPr>
                <w:rFonts w:eastAsia="等线" w:ascii="Arial" w:cs="Arial" w:hAnsi="Arial"/>
                <w:sz w:val="22"/>
              </w:rPr>
              <w:t>可</w:t>
            </w:r>
            <w:r>
              <w:rPr>
                <w:rFonts w:eastAsia="等线" w:ascii="Arial" w:cs="Arial" w:hAnsi="Arial"/>
                <w:sz w:val="22"/>
              </w:rPr>
              <w:t>配置</w:t>
            </w:r>
            <w:r>
              <w:rPr>
                <w:rFonts w:eastAsia="等线" w:ascii="Arial" w:cs="Arial" w:hAnsi="Arial"/>
                <w:sz w:val="22"/>
              </w:rPr>
              <w:t>1人</w:t>
            </w:r>
            <w:r>
              <w:rPr>
                <w:rFonts w:eastAsia="等线" w:ascii="Arial" w:cs="Arial" w:hAnsi="Arial"/>
                <w:sz w:val="22"/>
              </w:rPr>
              <w:t>。</w:t>
            </w:r>
          </w:p>
          <w:p>
            <w:pPr>
              <w:numPr>
                <w:numId w:val="30"/>
              </w:numPr>
              <w:spacing w:before="120" w:after="120" w:line="288" w:lineRule="auto"/>
              <w:ind w:left="0"/>
              <w:jc w:val="left"/>
            </w:pPr>
            <w:r>
              <w:rPr>
                <w:rFonts w:eastAsia="等线" w:ascii="Arial" w:cs="Arial" w:hAnsi="Arial"/>
                <w:sz w:val="22"/>
              </w:rPr>
              <w:t>未达人数标准的，应由其他员工兼任。</w:t>
            </w:r>
          </w:p>
        </w:tc>
      </w:tr>
      <w:tr>
        <w:tc>
          <w:tcPr>
            <w:tcW w:w="127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秩序主管</w:t>
            </w:r>
          </w:p>
        </w:tc>
        <w:tc>
          <w:tcPr>
            <w:tcW w:w="7005" w:type="dxa"/>
            <w:tcMar>
              <w:top w:type="dxa" w:w="60"/>
              <w:left w:type="dxa" w:w="120"/>
              <w:bottom w:type="dxa" w:w="30"/>
              <w:right w:type="dxa" w:w="120"/>
            </w:tcMar>
          </w:tcPr>
          <w:p>
            <w:pPr>
              <w:numPr>
                <w:numId w:val="31"/>
              </w:numPr>
              <w:spacing w:before="120" w:after="120" w:line="288" w:lineRule="auto"/>
              <w:ind w:left="0"/>
              <w:jc w:val="left"/>
            </w:pPr>
            <w:r>
              <w:rPr>
                <w:rFonts w:eastAsia="等线" w:ascii="Arial" w:cs="Arial" w:hAnsi="Arial"/>
                <w:sz w:val="22"/>
              </w:rPr>
              <w:t>“秩序维护员”数量超过15人时</w:t>
            </w:r>
            <w:r>
              <w:rPr>
                <w:rFonts w:eastAsia="等线" w:ascii="Arial" w:cs="Arial" w:hAnsi="Arial"/>
                <w:sz w:val="22"/>
              </w:rPr>
              <w:t>可</w:t>
            </w:r>
            <w:r>
              <w:rPr>
                <w:rFonts w:eastAsia="等线" w:ascii="Arial" w:cs="Arial" w:hAnsi="Arial"/>
                <w:sz w:val="22"/>
              </w:rPr>
              <w:t>配置</w:t>
            </w:r>
            <w:r>
              <w:rPr>
                <w:rFonts w:eastAsia="等线" w:ascii="Arial" w:cs="Arial" w:hAnsi="Arial"/>
                <w:sz w:val="22"/>
              </w:rPr>
              <w:t>1人</w:t>
            </w:r>
            <w:r>
              <w:rPr>
                <w:rFonts w:eastAsia="等线" w:ascii="Arial" w:cs="Arial" w:hAnsi="Arial"/>
                <w:sz w:val="22"/>
              </w:rPr>
              <w:t>。</w:t>
            </w:r>
          </w:p>
          <w:p>
            <w:pPr>
              <w:numPr>
                <w:numId w:val="32"/>
              </w:numPr>
              <w:spacing w:before="120" w:after="120" w:line="288" w:lineRule="auto"/>
              <w:ind w:left="0"/>
              <w:jc w:val="left"/>
            </w:pPr>
            <w:r>
              <w:rPr>
                <w:rFonts w:eastAsia="等线" w:ascii="Arial" w:cs="Arial" w:hAnsi="Arial"/>
                <w:sz w:val="22"/>
              </w:rPr>
              <w:t>如秩序业务外包，应由服务供方配置秩序主管，原则上不再设置秩序主管。</w:t>
            </w:r>
          </w:p>
        </w:tc>
      </w:tr>
      <w:tr>
        <w:tc>
          <w:tcPr>
            <w:tcW w:w="127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环境主管</w:t>
            </w:r>
          </w:p>
        </w:tc>
        <w:tc>
          <w:tcPr>
            <w:tcW w:w="7005" w:type="dxa"/>
            <w:tcMar>
              <w:top w:type="dxa" w:w="60"/>
              <w:left w:type="dxa" w:w="120"/>
              <w:bottom w:type="dxa" w:w="30"/>
              <w:right w:type="dxa" w:w="120"/>
            </w:tcMar>
          </w:tcPr>
          <w:p>
            <w:pPr>
              <w:numPr>
                <w:numId w:val="33"/>
              </w:numPr>
              <w:spacing w:before="120" w:after="120" w:line="288" w:lineRule="auto"/>
              <w:ind w:left="0"/>
              <w:jc w:val="left"/>
            </w:pPr>
            <w:r>
              <w:rPr>
                <w:rFonts w:eastAsia="等线" w:ascii="Arial" w:cs="Arial" w:hAnsi="Arial"/>
                <w:sz w:val="22"/>
              </w:rPr>
              <w:t>保洁员、园艺工合计超过10人时</w:t>
            </w:r>
            <w:r>
              <w:rPr>
                <w:rFonts w:eastAsia="等线" w:ascii="Arial" w:cs="Arial" w:hAnsi="Arial"/>
                <w:sz w:val="22"/>
              </w:rPr>
              <w:t>可配置1人。</w:t>
            </w:r>
          </w:p>
          <w:p>
            <w:pPr>
              <w:numPr>
                <w:numId w:val="34"/>
              </w:numPr>
              <w:spacing w:before="120" w:after="120" w:line="288" w:lineRule="auto"/>
              <w:ind w:left="0"/>
              <w:jc w:val="left"/>
            </w:pPr>
            <w:r>
              <w:rPr>
                <w:rFonts w:eastAsia="等线" w:ascii="Arial" w:cs="Arial" w:hAnsi="Arial"/>
                <w:sz w:val="22"/>
              </w:rPr>
              <w:t>如保洁和园艺业务外包，由服务供方配置环境主管，原则上不再设置环境主管。</w:t>
            </w:r>
          </w:p>
        </w:tc>
      </w:tr>
      <w:tr>
        <w:tc>
          <w:tcPr>
            <w:tcW w:w="127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工程主管</w:t>
            </w:r>
          </w:p>
          <w:p>
            <w:pPr>
              <w:spacing w:before="120" w:after="120" w:line="288" w:lineRule="auto"/>
              <w:ind w:left="0" w:firstLine="0"/>
              <w:jc w:val="center"/>
            </w:pPr>
            <w:r>
              <w:rPr>
                <w:rFonts w:eastAsia="等线" w:ascii="Arial" w:cs="Arial" w:hAnsi="Arial"/>
                <w:b w:val="true"/>
                <w:sz w:val="22"/>
              </w:rPr>
              <w:t>（住宅/公建）</w:t>
            </w:r>
          </w:p>
        </w:tc>
        <w:tc>
          <w:tcPr>
            <w:tcW w:w="7005" w:type="dxa"/>
            <w:tcMar>
              <w:top w:type="dxa" w:w="60"/>
              <w:left w:type="dxa" w:w="120"/>
              <w:bottom w:type="dxa" w:w="30"/>
              <w:right w:type="dxa" w:w="120"/>
            </w:tcMar>
          </w:tcPr>
          <w:p>
            <w:pPr>
              <w:numPr>
                <w:numId w:val="35"/>
              </w:numPr>
              <w:spacing w:before="120" w:after="120" w:line="288" w:lineRule="auto"/>
              <w:ind w:left="0"/>
              <w:jc w:val="left"/>
            </w:pPr>
            <w:r>
              <w:rPr>
                <w:rFonts w:eastAsia="等线" w:ascii="Arial" w:cs="Arial" w:hAnsi="Arial"/>
                <w:sz w:val="22"/>
              </w:rPr>
              <w:t>住宅：物业服务费年收入超过800万且管理的建筑面积超过30万平方米的项目</w:t>
            </w:r>
            <w:r>
              <w:rPr>
                <w:rFonts w:eastAsia="等线" w:ascii="Arial" w:cs="Arial" w:hAnsi="Arial"/>
                <w:sz w:val="22"/>
              </w:rPr>
              <w:t>可配置1人</w:t>
            </w:r>
            <w:r>
              <w:rPr>
                <w:rFonts w:eastAsia="等线" w:ascii="Arial" w:cs="Arial" w:hAnsi="Arial"/>
                <w:sz w:val="22"/>
              </w:rPr>
              <w:t>。</w:t>
            </w:r>
          </w:p>
          <w:p>
            <w:pPr>
              <w:numPr>
                <w:numId w:val="36"/>
              </w:numPr>
              <w:spacing w:before="120" w:after="120" w:line="288" w:lineRule="auto"/>
              <w:ind w:left="0"/>
              <w:jc w:val="left"/>
            </w:pPr>
            <w:r>
              <w:rPr>
                <w:rFonts w:eastAsia="等线" w:ascii="Arial" w:cs="Arial" w:hAnsi="Arial"/>
                <w:sz w:val="22"/>
              </w:rPr>
              <w:t>公建：物业服务费年收入超过800万且管理的建筑面积超过10万平方米的项目</w:t>
            </w:r>
            <w:r>
              <w:rPr>
                <w:rFonts w:eastAsia="等线" w:ascii="Arial" w:cs="Arial" w:hAnsi="Arial"/>
                <w:sz w:val="22"/>
              </w:rPr>
              <w:t>可配置1人</w:t>
            </w:r>
            <w:r>
              <w:rPr>
                <w:rFonts w:eastAsia="等线" w:ascii="Arial" w:cs="Arial" w:hAnsi="Arial"/>
                <w:sz w:val="22"/>
              </w:rPr>
              <w:t>。</w:t>
            </w:r>
          </w:p>
          <w:p>
            <w:pPr>
              <w:numPr>
                <w:numId w:val="37"/>
              </w:numPr>
              <w:spacing w:before="120" w:after="120" w:line="288" w:lineRule="auto"/>
              <w:ind w:left="0"/>
              <w:jc w:val="left"/>
            </w:pPr>
            <w:r>
              <w:rPr>
                <w:rFonts w:eastAsia="等线" w:ascii="Arial" w:cs="Arial" w:hAnsi="Arial"/>
                <w:sz w:val="22"/>
              </w:rPr>
              <w:t>管理处设置本职位时</w:t>
            </w:r>
            <w:r>
              <w:rPr>
                <w:rFonts w:eastAsia="等线" w:ascii="Arial" w:cs="Arial" w:hAnsi="Arial"/>
                <w:sz w:val="22"/>
              </w:rPr>
              <w:t>需经区域事业部</w:t>
            </w:r>
            <w:r>
              <w:rPr>
                <w:rFonts w:eastAsia="等线" w:ascii="Arial" w:cs="Arial" w:hAnsi="Arial"/>
                <w:sz w:val="22"/>
              </w:rPr>
              <w:t>S</w:t>
            </w:r>
            <w:r>
              <w:rPr>
                <w:rFonts w:eastAsia="等线" w:ascii="Arial" w:cs="Arial" w:hAnsi="Arial"/>
                <w:sz w:val="22"/>
              </w:rPr>
              <w:t>C</w:t>
            </w:r>
            <w:r>
              <w:rPr>
                <w:rFonts w:eastAsia="等线" w:ascii="Arial" w:cs="Arial" w:hAnsi="Arial"/>
                <w:sz w:val="22"/>
              </w:rPr>
              <w:t>会议</w:t>
            </w:r>
            <w:r>
              <w:rPr>
                <w:rFonts w:eastAsia="等线" w:ascii="Arial" w:cs="Arial" w:hAnsi="Arial"/>
                <w:sz w:val="22"/>
              </w:rPr>
              <w:t>批准。</w:t>
            </w:r>
          </w:p>
        </w:tc>
      </w:tr>
      <w:tr>
        <w:tc>
          <w:tcPr>
            <w:tcW w:w="127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财务专员</w:t>
            </w:r>
          </w:p>
        </w:tc>
        <w:tc>
          <w:tcPr>
            <w:tcW w:w="7005" w:type="dxa"/>
            <w:tcMar>
              <w:top w:type="dxa" w:w="60"/>
              <w:left w:type="dxa" w:w="120"/>
              <w:bottom w:type="dxa" w:w="30"/>
              <w:right w:type="dxa" w:w="120"/>
            </w:tcMar>
          </w:tcPr>
          <w:p>
            <w:pPr>
              <w:numPr>
                <w:numId w:val="38"/>
              </w:numPr>
              <w:spacing w:before="120" w:after="120" w:line="288" w:lineRule="auto"/>
              <w:ind w:left="0"/>
              <w:jc w:val="left"/>
            </w:pPr>
            <w:r>
              <w:rPr>
                <w:rFonts w:eastAsia="等线" w:ascii="Arial" w:cs="Arial" w:hAnsi="Arial"/>
                <w:sz w:val="22"/>
              </w:rPr>
              <w:t>“财务专员”编制隶属于城区财务部门。原则上管理处不允许设置“财务专员”职位，可以以“财务对接人”的角色映射方式承接相关工作。</w:t>
            </w:r>
          </w:p>
          <w:p>
            <w:pPr>
              <w:numPr>
                <w:numId w:val="39"/>
              </w:numPr>
              <w:spacing w:before="120" w:after="120" w:line="288" w:lineRule="auto"/>
              <w:ind w:left="0"/>
              <w:jc w:val="left"/>
            </w:pPr>
            <w:r>
              <w:rPr>
                <w:rFonts w:eastAsia="等线" w:ascii="Arial" w:cs="Arial" w:hAnsi="Arial"/>
                <w:sz w:val="22"/>
              </w:rPr>
              <w:t>若管理处规模较大的或特殊情况的，并经区域事业部SC会议</w:t>
            </w:r>
            <w:r>
              <w:rPr>
                <w:rFonts w:eastAsia="等线" w:ascii="Arial" w:cs="Arial" w:hAnsi="Arial"/>
                <w:sz w:val="22"/>
              </w:rPr>
              <w:t>批准，可配置1人</w:t>
            </w:r>
            <w:r>
              <w:rPr>
                <w:rFonts w:eastAsia="等线" w:ascii="Arial" w:cs="Arial" w:hAnsi="Arial"/>
                <w:sz w:val="22"/>
              </w:rPr>
              <w:t xml:space="preserve">。 </w:t>
            </w:r>
          </w:p>
        </w:tc>
      </w:tr>
      <w:tr>
        <w:tc>
          <w:tcPr>
            <w:tcW w:w="127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会计</w:t>
            </w:r>
          </w:p>
        </w:tc>
        <w:tc>
          <w:tcPr>
            <w:tcW w:w="7005"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对于业委会成立的酬金制项目，如业委会提出要求并愿意承担成本</w:t>
            </w:r>
            <w:r>
              <w:rPr>
                <w:rFonts w:eastAsia="等线" w:ascii="Arial" w:cs="Arial" w:hAnsi="Arial"/>
                <w:sz w:val="22"/>
              </w:rPr>
              <w:t>的，可配置1人</w:t>
            </w:r>
            <w:r>
              <w:rPr>
                <w:rFonts w:eastAsia="等线" w:ascii="Arial" w:cs="Arial" w:hAnsi="Arial"/>
                <w:sz w:val="22"/>
              </w:rPr>
              <w:t>。</w:t>
            </w:r>
          </w:p>
        </w:tc>
      </w:tr>
    </w:tbl>
    <w:p>
      <w:pPr>
        <w:pStyle w:val="1"/>
        <w:spacing w:before="380" w:after="140" w:line="288" w:lineRule="auto"/>
        <w:ind w:left="0"/>
        <w:jc w:val="left"/>
        <w:outlineLvl w:val="0"/>
      </w:pPr>
      <w:bookmarkStart w:name="heading_6" w:id="6"/>
      <w:r>
        <w:rPr>
          <w:rFonts w:eastAsia="等线" w:ascii="Arial" w:cs="Arial" w:hAnsi="Arial"/>
          <w:color w:val="3370ff"/>
          <w:sz w:val="36"/>
        </w:rPr>
        <w:t xml:space="preserve">7. </w:t>
      </w:r>
      <w:r>
        <w:rPr>
          <w:rFonts w:eastAsia="等线" w:ascii="Arial" w:cs="Arial" w:hAnsi="Arial"/>
          <w:b w:val="true"/>
          <w:sz w:val="36"/>
        </w:rPr>
        <w:t>关于主管职位的其他设置要求</w:t>
      </w:r>
      <w:bookmarkEnd w:id="6"/>
    </w:p>
    <w:p>
      <w:pPr>
        <w:numPr>
          <w:numId w:val="40"/>
        </w:numPr>
        <w:spacing w:before="120" w:after="120" w:line="288" w:lineRule="auto"/>
        <w:ind w:left="453"/>
        <w:jc w:val="left"/>
      </w:pPr>
      <w:r>
        <w:rPr>
          <w:rFonts w:eastAsia="等线" w:ascii="Arial" w:cs="Arial" w:hAnsi="Arial"/>
          <w:sz w:val="22"/>
        </w:rPr>
        <w:t>专业主管之间可以相互兼职；操作类员工人数较少时，原则上不</w:t>
      </w:r>
      <w:r>
        <w:rPr>
          <w:rFonts w:eastAsia="等线" w:ascii="Arial" w:cs="Arial" w:hAnsi="Arial"/>
          <w:sz w:val="22"/>
        </w:rPr>
        <w:t>宜</w:t>
      </w:r>
      <w:r>
        <w:rPr>
          <w:rFonts w:eastAsia="等线" w:ascii="Arial" w:cs="Arial" w:hAnsi="Arial"/>
          <w:sz w:val="22"/>
        </w:rPr>
        <w:t>设置专业主管。</w:t>
      </w:r>
    </w:p>
    <w:p>
      <w:pPr>
        <w:numPr>
          <w:numId w:val="41"/>
        </w:numPr>
        <w:spacing w:before="120" w:after="120" w:line="288" w:lineRule="auto"/>
        <w:ind w:left="453"/>
        <w:jc w:val="left"/>
      </w:pPr>
      <w:r>
        <w:rPr>
          <w:rFonts w:eastAsia="等线" w:ascii="Arial" w:cs="Arial" w:hAnsi="Arial"/>
          <w:sz w:val="22"/>
        </w:rPr>
        <w:t>关于由服务供方配置专业主管的情形：</w:t>
      </w:r>
    </w:p>
    <w:p>
      <w:pPr>
        <w:numPr>
          <w:numId w:val="42"/>
        </w:numPr>
        <w:spacing w:before="120" w:after="120" w:line="288" w:lineRule="auto"/>
        <w:ind w:left="907"/>
        <w:jc w:val="left"/>
      </w:pPr>
      <w:r>
        <w:rPr>
          <w:rFonts w:eastAsia="等线" w:ascii="Arial" w:cs="Arial" w:hAnsi="Arial"/>
          <w:sz w:val="22"/>
        </w:rPr>
        <w:t>管理处原则上不再设置相同专业主管职位；</w:t>
      </w:r>
    </w:p>
    <w:p>
      <w:pPr>
        <w:numPr>
          <w:numId w:val="43"/>
        </w:numPr>
        <w:spacing w:before="120" w:after="120" w:line="288" w:lineRule="auto"/>
        <w:ind w:left="907"/>
        <w:jc w:val="left"/>
      </w:pPr>
      <w:r>
        <w:rPr>
          <w:rFonts w:eastAsia="等线" w:ascii="Arial" w:cs="Arial" w:hAnsi="Arial"/>
          <w:sz w:val="22"/>
        </w:rPr>
        <w:t>分包方的专业主管必须全职驻场工作；</w:t>
      </w:r>
    </w:p>
    <w:p>
      <w:pPr>
        <w:numPr>
          <w:numId w:val="44"/>
        </w:numPr>
        <w:spacing w:before="120" w:after="120" w:line="288" w:lineRule="auto"/>
        <w:ind w:left="907"/>
        <w:jc w:val="left"/>
      </w:pPr>
      <w:r>
        <w:rPr>
          <w:rFonts w:eastAsia="等线" w:ascii="Arial" w:cs="Arial" w:hAnsi="Arial"/>
          <w:sz w:val="22"/>
        </w:rPr>
        <w:t>该专业主管必须经过管理处面试通过；</w:t>
      </w:r>
    </w:p>
    <w:p>
      <w:pPr>
        <w:numPr>
          <w:numId w:val="45"/>
        </w:numPr>
        <w:spacing w:before="120" w:after="120" w:line="288" w:lineRule="auto"/>
        <w:ind w:left="907"/>
        <w:jc w:val="left"/>
      </w:pPr>
      <w:r>
        <w:rPr>
          <w:rFonts w:eastAsia="等线" w:ascii="Arial" w:cs="Arial" w:hAnsi="Arial"/>
          <w:sz w:val="22"/>
        </w:rPr>
        <w:t>该专业主管必须接受管理处的指挥调度、日常监督、绩效评价及激励应用；</w:t>
      </w:r>
    </w:p>
    <w:p>
      <w:pPr>
        <w:numPr>
          <w:numId w:val="46"/>
        </w:numPr>
        <w:spacing w:before="120" w:after="120" w:line="288" w:lineRule="auto"/>
        <w:ind w:left="907"/>
        <w:jc w:val="left"/>
      </w:pPr>
      <w:r>
        <w:rPr>
          <w:rFonts w:eastAsia="等线" w:ascii="Arial" w:cs="Arial" w:hAnsi="Arial"/>
          <w:sz w:val="22"/>
        </w:rPr>
        <w:t>上述事宜必须在服务分包合同中予以明确约定。</w:t>
      </w:r>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8. </w:t>
      </w:r>
      <w:r>
        <w:rPr>
          <w:rFonts w:eastAsia="等线" w:ascii="Arial" w:cs="Arial" w:hAnsi="Arial"/>
          <w:b w:val="true"/>
          <w:sz w:val="36"/>
        </w:rPr>
        <w:t>操作类（T类）职位设置原则和定编参考</w:t>
      </w:r>
      <w:bookmarkEnd w:id="7"/>
    </w:p>
    <w:p>
      <w:pPr>
        <w:spacing w:before="120" w:after="120" w:line="288" w:lineRule="auto"/>
        <w:ind w:left="0"/>
        <w:jc w:val="left"/>
      </w:pPr>
      <w:r>
        <w:rPr>
          <w:rFonts w:eastAsia="等线" w:ascii="Arial" w:cs="Arial" w:hAnsi="Arial"/>
          <w:sz w:val="22"/>
        </w:rPr>
        <w:t>（以下仅为参考请按实际需要编制定编方案）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10"/>
        <w:gridCol w:w="3510"/>
        <w:gridCol w:w="3045"/>
      </w:tblGrid>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职位</w:t>
            </w:r>
          </w:p>
        </w:tc>
        <w:tc>
          <w:tcPr>
            <w:tcW w:w="35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配置</w:t>
            </w:r>
            <w:r>
              <w:rPr>
                <w:rFonts w:eastAsia="等线" w:ascii="Arial" w:cs="Arial" w:hAnsi="Arial"/>
                <w:b w:val="true"/>
                <w:sz w:val="22"/>
              </w:rPr>
              <w:t>原则</w:t>
            </w:r>
          </w:p>
        </w:tc>
        <w:tc>
          <w:tcPr>
            <w:tcW w:w="304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其他备注</w:t>
            </w:r>
          </w:p>
        </w:tc>
      </w:tr>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礼宾员</w:t>
            </w:r>
          </w:p>
        </w:tc>
        <w:tc>
          <w:tcPr>
            <w:tcW w:w="351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独立大堂的可配置礼宾员。</w:t>
            </w:r>
          </w:p>
        </w:tc>
        <w:tc>
          <w:tcPr>
            <w:tcW w:w="3045"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限商用、公建。</w:t>
            </w:r>
          </w:p>
        </w:tc>
      </w:tr>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前台接待员</w:t>
            </w:r>
          </w:p>
        </w:tc>
        <w:tc>
          <w:tcPr>
            <w:tcW w:w="3510" w:type="dxa"/>
            <w:tcMar>
              <w:top w:type="dxa" w:w="60"/>
              <w:left w:type="dxa" w:w="120"/>
              <w:bottom w:type="dxa" w:w="30"/>
              <w:right w:type="dxa" w:w="120"/>
            </w:tcMar>
          </w:tcPr>
          <w:p>
            <w:pPr>
              <w:numPr>
                <w:numId w:val="47"/>
              </w:numPr>
              <w:spacing w:before="120" w:after="120" w:line="288" w:lineRule="auto"/>
              <w:ind w:left="0"/>
              <w:jc w:val="left"/>
            </w:pPr>
            <w:r>
              <w:rPr>
                <w:rFonts w:eastAsia="等线" w:ascii="Arial" w:cs="Arial" w:hAnsi="Arial"/>
                <w:sz w:val="22"/>
              </w:rPr>
              <w:t>有前台且需要值班的，可以设置前台接待员。</w:t>
            </w:r>
          </w:p>
          <w:p>
            <w:pPr>
              <w:numPr>
                <w:numId w:val="48"/>
              </w:numPr>
              <w:spacing w:before="120" w:after="120" w:line="288" w:lineRule="auto"/>
              <w:ind w:left="0"/>
              <w:jc w:val="left"/>
            </w:pPr>
            <w:r>
              <w:rPr>
                <w:rFonts w:eastAsia="等线" w:ascii="Arial" w:cs="Arial" w:hAnsi="Arial"/>
                <w:sz w:val="22"/>
              </w:rPr>
              <w:t>独立大堂的可配置前台接待员或礼宾员。</w:t>
            </w:r>
          </w:p>
        </w:tc>
        <w:tc>
          <w:tcPr>
            <w:tcW w:w="3045"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1、限商用、公建。</w:t>
            </w:r>
          </w:p>
          <w:p>
            <w:pPr>
              <w:spacing w:before="120" w:after="120" w:line="288" w:lineRule="auto"/>
              <w:ind w:left="0" w:firstLine="0"/>
              <w:jc w:val="left"/>
            </w:pPr>
            <w:r>
              <w:rPr>
                <w:rFonts w:eastAsia="等线" w:ascii="Arial" w:cs="Arial" w:hAnsi="Arial"/>
                <w:sz w:val="22"/>
              </w:rPr>
              <w:t>2、基于开发商、业委会要求的大堂服务人员，在公司职位中定义为前台接待员，应划至操作类，不应按P类定编。</w:t>
            </w:r>
          </w:p>
        </w:tc>
      </w:tr>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水吧服务员</w:t>
            </w:r>
          </w:p>
        </w:tc>
        <w:tc>
          <w:tcPr>
            <w:tcW w:w="351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甲方提出明确人员配置要求，并愿意承担成本时，可配置。（包括茶艺师、咖啡师、调酒师等）</w:t>
            </w:r>
          </w:p>
        </w:tc>
        <w:tc>
          <w:tcPr>
            <w:tcW w:w="3045"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限商用物业。</w:t>
            </w:r>
          </w:p>
        </w:tc>
      </w:tr>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会务服务员</w:t>
            </w:r>
          </w:p>
        </w:tc>
        <w:tc>
          <w:tcPr>
            <w:tcW w:w="351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有多间会议室且会务服务工作量大的，可以设置专职的会务服务员；</w:t>
            </w:r>
          </w:p>
        </w:tc>
        <w:tc>
          <w:tcPr>
            <w:tcW w:w="3045"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1、限商用、公建。</w:t>
            </w:r>
          </w:p>
          <w:p>
            <w:pPr>
              <w:spacing w:before="120" w:after="120" w:line="288" w:lineRule="auto"/>
              <w:ind w:left="0" w:firstLine="0"/>
              <w:jc w:val="left"/>
            </w:pPr>
            <w:r>
              <w:rPr>
                <w:rFonts w:eastAsia="等线" w:ascii="Arial" w:cs="Arial" w:hAnsi="Arial"/>
                <w:sz w:val="22"/>
              </w:rPr>
              <w:t>2、如会务服务量较小，可以考虑由其他职位分管。</w:t>
            </w:r>
          </w:p>
        </w:tc>
      </w:tr>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秩序维护员</w:t>
            </w:r>
          </w:p>
        </w:tc>
        <w:tc>
          <w:tcPr>
            <w:tcW w:w="351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sz w:val="22"/>
              </w:rPr>
              <w:t>根据安全布防方案需要配置人员</w:t>
            </w:r>
          </w:p>
          <w:p>
            <w:pPr>
              <w:spacing w:before="120" w:after="120" w:line="288" w:lineRule="auto"/>
              <w:ind w:left="0" w:firstLine="0"/>
              <w:jc w:val="left"/>
            </w:pPr>
            <w:r>
              <w:rPr>
                <w:rFonts w:eastAsia="等线" w:ascii="Arial" w:cs="Arial" w:hAnsi="Arial"/>
                <w:b w:val="true"/>
                <w:sz w:val="22"/>
              </w:rPr>
              <w:t>1、固定岗：</w:t>
            </w:r>
          </w:p>
          <w:p>
            <w:pPr>
              <w:numPr>
                <w:numId w:val="49"/>
              </w:numPr>
              <w:spacing w:before="120" w:after="120" w:line="288" w:lineRule="auto"/>
              <w:ind w:left="0"/>
              <w:jc w:val="left"/>
            </w:pPr>
            <w:r>
              <w:rPr>
                <w:rFonts w:eastAsia="等线" w:ascii="Arial" w:cs="Arial" w:hAnsi="Arial"/>
                <w:sz w:val="22"/>
              </w:rPr>
              <w:t>班长岗，负责全小区公共秩序管理。</w:t>
            </w:r>
          </w:p>
          <w:p>
            <w:pPr>
              <w:numPr>
                <w:numId w:val="50"/>
              </w:numPr>
              <w:spacing w:before="120" w:after="120" w:line="288" w:lineRule="auto"/>
              <w:ind w:left="0"/>
              <w:jc w:val="left"/>
            </w:pPr>
            <w:r>
              <w:rPr>
                <w:rFonts w:eastAsia="等线" w:ascii="Arial" w:cs="Arial" w:hAnsi="Arial"/>
                <w:sz w:val="22"/>
              </w:rPr>
              <w:t>其他执勤岗位应尽量覆盖物业项目重要布防区域。（包括监控岗、大门岗、车场岗、大堂岗）</w:t>
            </w:r>
          </w:p>
          <w:p>
            <w:pPr>
              <w:spacing w:before="120" w:after="120" w:line="288" w:lineRule="auto"/>
              <w:ind w:left="0" w:firstLine="0"/>
              <w:jc w:val="left"/>
            </w:pPr>
            <w:r>
              <w:rPr>
                <w:rFonts w:eastAsia="等线" w:ascii="Arial" w:cs="Arial" w:hAnsi="Arial"/>
                <w:b w:val="true"/>
                <w:sz w:val="22"/>
              </w:rPr>
              <w:t>2、机动岗：</w:t>
            </w:r>
          </w:p>
          <w:p>
            <w:pPr>
              <w:numPr>
                <w:numId w:val="51"/>
              </w:numPr>
              <w:spacing w:before="120" w:after="120" w:line="288" w:lineRule="auto"/>
              <w:ind w:left="0"/>
              <w:jc w:val="left"/>
            </w:pPr>
            <w:r>
              <w:rPr>
                <w:rFonts w:eastAsia="等线" w:ascii="Arial" w:cs="Arial" w:hAnsi="Arial"/>
                <w:sz w:val="22"/>
              </w:rPr>
              <w:t>根据合同约定内容参考设置（如巡逻频次、时长、班次、路线/范围等要求）</w:t>
            </w:r>
          </w:p>
        </w:tc>
        <w:tc>
          <w:tcPr>
            <w:tcW w:w="3045" w:type="dxa"/>
            <w:tcMar>
              <w:top w:type="dxa" w:w="60"/>
              <w:left w:type="dxa" w:w="120"/>
              <w:bottom w:type="dxa" w:w="30"/>
              <w:right w:type="dxa" w:w="120"/>
            </w:tcMar>
          </w:tcPr>
          <w:p>
            <w:pPr>
              <w:numPr>
                <w:numId w:val="52"/>
              </w:numPr>
              <w:spacing w:before="120" w:after="120" w:line="288" w:lineRule="auto"/>
              <w:ind w:left="0"/>
              <w:jc w:val="left"/>
            </w:pPr>
            <w:r>
              <w:rPr>
                <w:rFonts w:eastAsia="等线" w:ascii="Arial" w:cs="Arial" w:hAnsi="Arial"/>
                <w:sz w:val="22"/>
              </w:rPr>
              <w:t>人员配置应考虑班次要求。</w:t>
            </w:r>
          </w:p>
          <w:p>
            <w:pPr>
              <w:numPr>
                <w:numId w:val="53"/>
              </w:numPr>
              <w:spacing w:before="120" w:after="120" w:line="288" w:lineRule="auto"/>
              <w:ind w:left="0"/>
              <w:jc w:val="left"/>
            </w:pPr>
            <w:r>
              <w:rPr>
                <w:rFonts w:eastAsia="等线" w:ascii="Arial" w:cs="Arial" w:hAnsi="Arial"/>
                <w:sz w:val="22"/>
              </w:rPr>
              <w:t>除大门外，如其他部分出入口可进行封闭&amp;监控管理，该布防区域可选择不设专职岗位。</w:t>
            </w:r>
          </w:p>
          <w:p>
            <w:pPr>
              <w:numPr>
                <w:numId w:val="54"/>
              </w:numPr>
              <w:spacing w:before="120" w:after="120" w:line="288" w:lineRule="auto"/>
              <w:ind w:left="0"/>
              <w:jc w:val="left"/>
            </w:pPr>
            <w:r>
              <w:rPr>
                <w:rFonts w:eastAsia="等线" w:ascii="Arial" w:cs="Arial" w:hAnsi="Arial"/>
                <w:sz w:val="22"/>
              </w:rPr>
              <w:t>实现无人化管理的项目配套停车场，应不配置车场岗。</w:t>
            </w:r>
          </w:p>
        </w:tc>
      </w:tr>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保洁员</w:t>
            </w:r>
          </w:p>
        </w:tc>
        <w:tc>
          <w:tcPr>
            <w:tcW w:w="351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sz w:val="22"/>
              </w:rPr>
              <w:t>根据项目建筑面积参考配置人员</w:t>
            </w:r>
          </w:p>
          <w:p>
            <w:pPr>
              <w:spacing w:before="120" w:after="120" w:line="288" w:lineRule="auto"/>
              <w:ind w:left="0" w:firstLine="0"/>
              <w:jc w:val="left"/>
            </w:pPr>
            <w:r>
              <w:rPr>
                <w:rFonts w:eastAsia="等线" w:ascii="Arial" w:cs="Arial" w:hAnsi="Arial"/>
                <w:sz w:val="22"/>
              </w:rPr>
              <w:t>多层住宅：每8000~10000平米配置1名</w:t>
            </w:r>
          </w:p>
          <w:p>
            <w:pPr>
              <w:spacing w:before="120" w:after="120" w:line="288" w:lineRule="auto"/>
              <w:ind w:left="0" w:firstLine="0"/>
              <w:jc w:val="left"/>
            </w:pPr>
            <w:r>
              <w:rPr>
                <w:rFonts w:eastAsia="等线" w:ascii="Arial" w:cs="Arial" w:hAnsi="Arial"/>
                <w:sz w:val="22"/>
              </w:rPr>
              <w:t>高层住宅：每6000~8000平米配置1名</w:t>
            </w:r>
          </w:p>
          <w:p>
            <w:pPr>
              <w:spacing w:before="120" w:after="120" w:line="288" w:lineRule="auto"/>
              <w:ind w:left="0" w:firstLine="0"/>
              <w:jc w:val="left"/>
            </w:pPr>
            <w:r>
              <w:rPr>
                <w:rFonts w:eastAsia="等线" w:ascii="Arial" w:cs="Arial" w:hAnsi="Arial"/>
                <w:sz w:val="22"/>
              </w:rPr>
              <w:t>商业（写字楼）：每4000~6000平米配置1名</w:t>
            </w:r>
          </w:p>
        </w:tc>
        <w:tc>
          <w:tcPr>
            <w:tcW w:w="3045" w:type="dxa"/>
            <w:tcMar>
              <w:top w:type="dxa" w:w="60"/>
              <w:left w:type="dxa" w:w="120"/>
              <w:bottom w:type="dxa" w:w="30"/>
              <w:right w:type="dxa" w:w="120"/>
            </w:tcMar>
          </w:tcPr>
          <w:p>
            <w:pPr>
              <w:numPr>
                <w:numId w:val="55"/>
              </w:numPr>
              <w:spacing w:before="120" w:after="120" w:line="288" w:lineRule="auto"/>
              <w:ind w:left="0"/>
              <w:jc w:val="left"/>
            </w:pPr>
            <w:r>
              <w:rPr>
                <w:rFonts w:eastAsia="等线" w:ascii="Arial" w:cs="Arial" w:hAnsi="Arial"/>
                <w:sz w:val="22"/>
              </w:rPr>
              <w:t>如无环境主管，则应至少确定1名领班；</w:t>
            </w:r>
          </w:p>
          <w:p>
            <w:pPr>
              <w:numPr>
                <w:numId w:val="56"/>
              </w:numPr>
              <w:spacing w:before="120" w:after="120" w:line="288" w:lineRule="auto"/>
              <w:ind w:left="0"/>
              <w:jc w:val="left"/>
            </w:pPr>
            <w:r>
              <w:rPr>
                <w:rFonts w:eastAsia="等线" w:ascii="Arial" w:cs="Arial" w:hAnsi="Arial"/>
                <w:sz w:val="22"/>
              </w:rPr>
              <w:t>北方地区可在前述标准基础上总配置数适当上浮10%；</w:t>
            </w:r>
          </w:p>
          <w:p>
            <w:pPr>
              <w:numPr>
                <w:numId w:val="57"/>
              </w:numPr>
              <w:spacing w:before="120" w:after="120" w:line="288" w:lineRule="auto"/>
              <w:ind w:left="0"/>
              <w:jc w:val="left"/>
            </w:pPr>
            <w:r>
              <w:rPr>
                <w:rFonts w:eastAsia="等线" w:ascii="Arial" w:cs="Arial" w:hAnsi="Arial"/>
                <w:sz w:val="22"/>
              </w:rPr>
              <w:t>适当考虑大堂面积、材质以及公共洗手间等因素，另行配置保洁员。</w:t>
            </w:r>
          </w:p>
          <w:p>
            <w:pPr>
              <w:numPr>
                <w:numId w:val="58"/>
              </w:numPr>
              <w:spacing w:before="120" w:after="120" w:line="288" w:lineRule="auto"/>
              <w:ind w:left="0"/>
              <w:jc w:val="left"/>
            </w:pPr>
            <w:r>
              <w:rPr>
                <w:rFonts w:eastAsia="等线" w:ascii="Arial" w:cs="Arial" w:hAnsi="Arial"/>
                <w:sz w:val="22"/>
              </w:rPr>
              <w:t>专人转岗情形，如洗手间岗情形，按合同约定。</w:t>
            </w:r>
          </w:p>
        </w:tc>
      </w:tr>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园艺工</w:t>
            </w:r>
          </w:p>
        </w:tc>
        <w:tc>
          <w:tcPr>
            <w:tcW w:w="351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sz w:val="22"/>
              </w:rPr>
              <w:t>根据项目绿化面积参考配置人员</w:t>
            </w:r>
          </w:p>
          <w:p>
            <w:pPr>
              <w:spacing w:before="120" w:after="120" w:line="288" w:lineRule="auto"/>
              <w:ind w:left="0" w:firstLine="0"/>
              <w:jc w:val="left"/>
            </w:pPr>
            <w:r>
              <w:rPr>
                <w:rFonts w:eastAsia="等线" w:ascii="Arial" w:cs="Arial" w:hAnsi="Arial"/>
                <w:sz w:val="22"/>
              </w:rPr>
              <w:t>1、北方地区每9500平米配置1名</w:t>
            </w:r>
          </w:p>
          <w:p>
            <w:pPr>
              <w:spacing w:before="120" w:after="120" w:line="288" w:lineRule="auto"/>
              <w:ind w:left="0" w:firstLine="0"/>
              <w:jc w:val="left"/>
            </w:pPr>
            <w:r>
              <w:rPr>
                <w:rFonts w:eastAsia="等线" w:ascii="Arial" w:cs="Arial" w:hAnsi="Arial"/>
                <w:sz w:val="22"/>
              </w:rPr>
              <w:t>2、南方地区每5500平米配置1名</w:t>
            </w:r>
          </w:p>
        </w:tc>
        <w:tc>
          <w:tcPr>
            <w:tcW w:w="3045"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北方地区应考虑冬季人员的调整（缩减）。</w:t>
            </w:r>
          </w:p>
          <w:p>
            <w:pPr>
              <w:spacing w:before="120" w:after="120" w:line="288" w:lineRule="auto"/>
              <w:ind w:left="0" w:firstLine="0"/>
              <w:jc w:val="left"/>
            </w:pPr>
            <w:r>
              <w:rPr>
                <w:rFonts w:eastAsia="等线" w:ascii="Arial" w:cs="Arial" w:hAnsi="Arial"/>
                <w:sz w:val="22"/>
              </w:rPr>
              <w:t>	</w:t>
            </w:r>
          </w:p>
        </w:tc>
      </w:tr>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技工</w:t>
            </w:r>
          </w:p>
        </w:tc>
        <w:tc>
          <w:tcPr>
            <w:tcW w:w="351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1、原则上长城楼宇已接管的项目，已有相应的维保技工负责，则不配置自管技工。</w:t>
            </w:r>
          </w:p>
          <w:p>
            <w:pPr>
              <w:spacing w:before="120" w:after="120" w:line="288" w:lineRule="auto"/>
              <w:ind w:left="0" w:firstLine="0"/>
              <w:jc w:val="left"/>
            </w:pPr>
            <w:r>
              <w:rPr>
                <w:rFonts w:eastAsia="等线" w:ascii="Arial" w:cs="Arial" w:hAnsi="Arial"/>
                <w:sz w:val="22"/>
              </w:rPr>
              <w:t>2、原则上成立城区维修队的，应采取派单形式开展入户维修和公区维修，管理处不允许另行配置技工开展入户维修和公区维修。</w:t>
            </w:r>
          </w:p>
        </w:tc>
        <w:tc>
          <w:tcPr>
            <w:tcW w:w="3045" w:type="dxa"/>
            <w:tcMar>
              <w:top w:type="dxa" w:w="60"/>
              <w:left w:type="dxa" w:w="120"/>
              <w:bottom w:type="dxa" w:w="30"/>
              <w:right w:type="dxa" w:w="120"/>
            </w:tcMar>
          </w:tcPr>
          <w:p>
            <w:pPr>
              <w:spacing w:before="120" w:after="120" w:line="288" w:lineRule="auto"/>
              <w:ind w:left="0" w:firstLine="0"/>
              <w:jc w:val="left"/>
            </w:pPr>
          </w:p>
        </w:tc>
      </w:tr>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厨师</w:t>
            </w:r>
          </w:p>
        </w:tc>
        <w:tc>
          <w:tcPr>
            <w:tcW w:w="351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涉及对外营业餐厅项目，可根据项目需求配置人员</w:t>
            </w:r>
          </w:p>
        </w:tc>
        <w:tc>
          <w:tcPr>
            <w:tcW w:w="3045" w:type="dxa"/>
            <w:tcMar>
              <w:top w:type="dxa" w:w="60"/>
              <w:left w:type="dxa" w:w="120"/>
              <w:bottom w:type="dxa" w:w="30"/>
              <w:right w:type="dxa" w:w="120"/>
            </w:tcMar>
          </w:tcPr>
          <w:p>
            <w:pPr>
              <w:spacing w:before="120" w:after="120" w:line="288" w:lineRule="auto"/>
              <w:ind w:left="0" w:firstLine="0"/>
              <w:jc w:val="left"/>
            </w:pPr>
          </w:p>
        </w:tc>
      </w:tr>
      <w:tr>
        <w:tc>
          <w:tcPr>
            <w:tcW w:w="17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勤务员</w:t>
            </w:r>
          </w:p>
        </w:tc>
        <w:tc>
          <w:tcPr>
            <w:tcW w:w="351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涉及内部员工食堂项目，可根据项目需求配置人员</w:t>
            </w:r>
          </w:p>
        </w:tc>
        <w:tc>
          <w:tcPr>
            <w:tcW w:w="3045" w:type="dxa"/>
            <w:tcMar>
              <w:top w:type="dxa" w:w="60"/>
              <w:left w:type="dxa" w:w="120"/>
              <w:bottom w:type="dxa" w:w="30"/>
              <w:right w:type="dxa" w:w="120"/>
            </w:tcMar>
          </w:tcPr>
          <w:p>
            <w:pPr>
              <w:spacing w:before="120" w:after="120" w:line="288" w:lineRule="auto"/>
              <w:ind w:left="0" w:firstLine="0"/>
              <w:jc w:val="left"/>
            </w:pPr>
          </w:p>
        </w:tc>
      </w:tr>
    </w:tbl>
    <w:p>
      <w:pPr>
        <w:pStyle w:val="1"/>
        <w:spacing w:before="380" w:after="140" w:line="288" w:lineRule="auto"/>
        <w:ind w:left="0"/>
        <w:jc w:val="left"/>
        <w:outlineLvl w:val="0"/>
      </w:pPr>
      <w:bookmarkStart w:name="heading_8" w:id="8"/>
      <w:r>
        <w:rPr>
          <w:rFonts w:eastAsia="等线" w:ascii="Arial" w:cs="Arial" w:hAnsi="Arial"/>
          <w:color w:val="3370ff"/>
          <w:sz w:val="36"/>
        </w:rPr>
        <w:t xml:space="preserve">9. </w:t>
      </w:r>
      <w:r>
        <w:rPr>
          <w:rFonts w:eastAsia="等线" w:ascii="Arial" w:cs="Arial" w:hAnsi="Arial"/>
          <w:b w:val="true"/>
          <w:sz w:val="36"/>
        </w:rPr>
        <w:t>支持性文件</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文件编号</w:t>
            </w:r>
          </w:p>
        </w:tc>
        <w:tc>
          <w:tcPr>
            <w:tcW w:w="414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文件名称</w:t>
            </w:r>
          </w:p>
        </w:tc>
      </w:tr>
      <w:tr>
        <w:tc>
          <w:tcPr>
            <w:tcW w:w="414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CCPG/C-1503-003-001</w:t>
            </w:r>
          </w:p>
        </w:tc>
        <w:tc>
          <w:tcPr>
            <w:tcW w:w="4140" w:type="dxa"/>
            <w:tcMar>
              <w:top w:type="dxa" w:w="60"/>
              <w:left w:type="dxa" w:w="120"/>
              <w:bottom w:type="dxa" w:w="30"/>
              <w:right w:type="dxa" w:w="120"/>
            </w:tcMar>
          </w:tcPr>
          <w:p>
            <w:pPr>
              <w:spacing w:before="120" w:after="120" w:line="288" w:lineRule="auto"/>
              <w:ind w:left="0" w:firstLine="0"/>
              <w:jc w:val="left"/>
            </w:pPr>
            <w:hyperlink r:id="rId7">
              <w:r>
                <w:rPr>
                  <w:rFonts w:eastAsia="等线" w:ascii="Arial" w:cs="Arial" w:hAnsi="Arial"/>
                  <w:color w:val="3370ff"/>
                  <w:sz w:val="22"/>
                </w:rPr>
                <w:t>管理处角色映射表 CCPG/C-1503-003-001 F/0 -审批版</w:t>
              </w:r>
            </w:hyperlink>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CCPG╱B-5.1.4.1-B-004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管理处项目等级定级指导标准</w:t>
            </w:r>
          </w:p>
        </w:tc>
      </w:tr>
    </w:tbl>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512515">
    <w:lvl>
      <w:start w:val="1"/>
      <w:numFmt w:val="lowerLetter"/>
      <w:suff w:val="tab"/>
      <w:lvlText w:val="%1."/>
      <w:rPr>
        <w:color w:val="3370ff"/>
      </w:rPr>
    </w:lvl>
  </w:abstractNum>
  <w:abstractNum w:abstractNumId="512516">
    <w:lvl>
      <w:start w:val="2"/>
      <w:numFmt w:val="lowerLetter"/>
      <w:suff w:val="tab"/>
      <w:lvlText w:val="%1."/>
      <w:rPr>
        <w:color w:val="3370ff"/>
      </w:rPr>
    </w:lvl>
  </w:abstractNum>
  <w:abstractNum w:abstractNumId="512517">
    <w:lvl>
      <w:start w:val="3"/>
      <w:numFmt w:val="lowerLetter"/>
      <w:suff w:val="tab"/>
      <w:lvlText w:val="%1."/>
      <w:rPr>
        <w:color w:val="3370ff"/>
      </w:rPr>
    </w:lvl>
  </w:abstractNum>
  <w:abstractNum w:abstractNumId="512518">
    <w:lvl>
      <w:start w:val="4"/>
      <w:numFmt w:val="lowerLetter"/>
      <w:suff w:val="tab"/>
      <w:lvlText w:val="%1."/>
      <w:rPr>
        <w:color w:val="3370ff"/>
      </w:rPr>
    </w:lvl>
  </w:abstractNum>
  <w:abstractNum w:abstractNumId="512519">
    <w:lvl>
      <w:start w:val="5"/>
      <w:numFmt w:val="lowerLetter"/>
      <w:suff w:val="tab"/>
      <w:lvlText w:val="%1."/>
      <w:rPr>
        <w:color w:val="3370ff"/>
      </w:rPr>
    </w:lvl>
  </w:abstractNum>
  <w:abstractNum w:abstractNumId="512520">
    <w:lvl>
      <w:start w:val="1"/>
      <w:numFmt w:val="lowerLetter"/>
      <w:suff w:val="tab"/>
      <w:lvlText w:val="%1."/>
      <w:rPr>
        <w:color w:val="3370ff"/>
      </w:rPr>
    </w:lvl>
  </w:abstractNum>
  <w:abstractNum w:abstractNumId="512521">
    <w:lvl>
      <w:start w:val="2"/>
      <w:numFmt w:val="lowerLetter"/>
      <w:suff w:val="tab"/>
      <w:lvlText w:val="%1."/>
      <w:rPr>
        <w:color w:val="3370ff"/>
      </w:rPr>
    </w:lvl>
  </w:abstractNum>
  <w:abstractNum w:abstractNumId="512522">
    <w:lvl>
      <w:start w:val="3"/>
      <w:numFmt w:val="lowerLetter"/>
      <w:suff w:val="tab"/>
      <w:lvlText w:val="%1."/>
      <w:rPr>
        <w:color w:val="3370ff"/>
      </w:rPr>
    </w:lvl>
  </w:abstractNum>
  <w:abstractNum w:abstractNumId="512523">
    <w:lvl>
      <w:start w:val="4"/>
      <w:numFmt w:val="lowerLetter"/>
      <w:suff w:val="tab"/>
      <w:lvlText w:val="%1."/>
      <w:rPr>
        <w:color w:val="3370ff"/>
      </w:rPr>
    </w:lvl>
  </w:abstractNum>
  <w:abstractNum w:abstractNumId="512524">
    <w:lvl>
      <w:numFmt w:val="bullet"/>
      <w:suff w:val="tab"/>
      <w:lvlText w:val="•"/>
      <w:rPr>
        <w:color w:val="3370ff"/>
      </w:rPr>
    </w:lvl>
  </w:abstractNum>
  <w:abstractNum w:abstractNumId="512525">
    <w:lvl>
      <w:numFmt w:val="bullet"/>
      <w:suff w:val="tab"/>
      <w:lvlText w:val="•"/>
      <w:rPr>
        <w:color w:val="3370ff"/>
      </w:rPr>
    </w:lvl>
  </w:abstractNum>
  <w:abstractNum w:abstractNumId="512526">
    <w:lvl>
      <w:numFmt w:val="bullet"/>
      <w:suff w:val="tab"/>
      <w:lvlText w:val="•"/>
      <w:rPr>
        <w:color w:val="3370ff"/>
      </w:rPr>
    </w:lvl>
  </w:abstractNum>
  <w:abstractNum w:abstractNumId="512527">
    <w:lvl>
      <w:numFmt w:val="bullet"/>
      <w:suff w:val="tab"/>
      <w:lvlText w:val="•"/>
      <w:rPr>
        <w:color w:val="3370ff"/>
      </w:rPr>
    </w:lvl>
  </w:abstractNum>
  <w:abstractNum w:abstractNumId="512528">
    <w:lvl>
      <w:numFmt w:val="bullet"/>
      <w:suff w:val="tab"/>
      <w:lvlText w:val="•"/>
      <w:rPr>
        <w:color w:val="3370ff"/>
      </w:rPr>
    </w:lvl>
  </w:abstractNum>
  <w:abstractNum w:abstractNumId="512529">
    <w:lvl>
      <w:numFmt w:val="bullet"/>
      <w:suff w:val="tab"/>
      <w:lvlText w:val="•"/>
      <w:rPr>
        <w:color w:val="3370ff"/>
      </w:rPr>
    </w:lvl>
  </w:abstractNum>
  <w:abstractNum w:abstractNumId="512530">
    <w:lvl>
      <w:start w:val="1"/>
      <w:numFmt w:val="decimal"/>
      <w:suff w:val="tab"/>
      <w:lvlText w:val="%1."/>
      <w:rPr>
        <w:color w:val="3370ff"/>
      </w:rPr>
    </w:lvl>
  </w:abstractNum>
  <w:abstractNum w:abstractNumId="512531">
    <w:lvl>
      <w:start w:val="2"/>
      <w:numFmt w:val="decimal"/>
      <w:suff w:val="tab"/>
      <w:lvlText w:val="%1."/>
      <w:rPr>
        <w:color w:val="3370ff"/>
      </w:rPr>
    </w:lvl>
  </w:abstractNum>
  <w:abstractNum w:abstractNumId="512532">
    <w:lvl>
      <w:start w:val="1"/>
      <w:numFmt w:val="decimal"/>
      <w:suff w:val="tab"/>
      <w:lvlText w:val="%1."/>
      <w:rPr>
        <w:color w:val="3370ff"/>
      </w:rPr>
    </w:lvl>
  </w:abstractNum>
  <w:abstractNum w:abstractNumId="512533">
    <w:lvl>
      <w:start w:val="2"/>
      <w:numFmt w:val="decimal"/>
      <w:suff w:val="tab"/>
      <w:lvlText w:val="%1."/>
      <w:rPr>
        <w:color w:val="3370ff"/>
      </w:rPr>
    </w:lvl>
  </w:abstractNum>
  <w:abstractNum w:abstractNumId="512534">
    <w:lvl>
      <w:start w:val="3"/>
      <w:numFmt w:val="decimal"/>
      <w:suff w:val="tab"/>
      <w:lvlText w:val="%1."/>
      <w:rPr>
        <w:color w:val="3370ff"/>
      </w:rPr>
    </w:lvl>
  </w:abstractNum>
  <w:abstractNum w:abstractNumId="512535">
    <w:lvl>
      <w:start w:val="1"/>
      <w:numFmt w:val="decimal"/>
      <w:suff w:val="tab"/>
      <w:lvlText w:val="%1."/>
      <w:rPr>
        <w:color w:val="3370ff"/>
      </w:rPr>
    </w:lvl>
  </w:abstractNum>
  <w:abstractNum w:abstractNumId="512536">
    <w:lvl>
      <w:start w:val="2"/>
      <w:numFmt w:val="decimal"/>
      <w:suff w:val="tab"/>
      <w:lvlText w:val="%1."/>
      <w:rPr>
        <w:color w:val="3370ff"/>
      </w:rPr>
    </w:lvl>
  </w:abstractNum>
  <w:abstractNum w:abstractNumId="512537">
    <w:lvl>
      <w:start w:val="3"/>
      <w:numFmt w:val="decimal"/>
      <w:suff w:val="tab"/>
      <w:lvlText w:val="%1."/>
      <w:rPr>
        <w:color w:val="3370ff"/>
      </w:rPr>
    </w:lvl>
  </w:abstractNum>
  <w:abstractNum w:abstractNumId="512538">
    <w:lvl>
      <w:start w:val="1"/>
      <w:numFmt w:val="decimal"/>
      <w:suff w:val="tab"/>
      <w:lvlText w:val="%1."/>
      <w:rPr>
        <w:color w:val="3370ff"/>
      </w:rPr>
    </w:lvl>
  </w:abstractNum>
  <w:abstractNum w:abstractNumId="512539">
    <w:lvl>
      <w:start w:val="2"/>
      <w:numFmt w:val="decimal"/>
      <w:suff w:val="tab"/>
      <w:lvlText w:val="%1."/>
      <w:rPr>
        <w:color w:val="3370ff"/>
      </w:rPr>
    </w:lvl>
  </w:abstractNum>
  <w:abstractNum w:abstractNumId="512540">
    <w:lvl>
      <w:start w:val="1"/>
      <w:numFmt w:val="decimal"/>
      <w:suff w:val="tab"/>
      <w:lvlText w:val="%1."/>
      <w:rPr>
        <w:color w:val="3370ff"/>
      </w:rPr>
    </w:lvl>
  </w:abstractNum>
  <w:abstractNum w:abstractNumId="512541">
    <w:lvl>
      <w:start w:val="2"/>
      <w:numFmt w:val="decimal"/>
      <w:suff w:val="tab"/>
      <w:lvlText w:val="%1."/>
      <w:rPr>
        <w:color w:val="3370ff"/>
      </w:rPr>
    </w:lvl>
  </w:abstractNum>
  <w:abstractNum w:abstractNumId="512542">
    <w:lvl>
      <w:start w:val="3"/>
      <w:numFmt w:val="decimal"/>
      <w:suff w:val="tab"/>
      <w:lvlText w:val="%1."/>
      <w:rPr>
        <w:color w:val="3370ff"/>
      </w:rPr>
    </w:lvl>
  </w:abstractNum>
  <w:abstractNum w:abstractNumId="512543">
    <w:lvl>
      <w:start w:val="1"/>
      <w:numFmt w:val="decimal"/>
      <w:suff w:val="tab"/>
      <w:lvlText w:val="%1."/>
      <w:rPr>
        <w:color w:val="3370ff"/>
      </w:rPr>
    </w:lvl>
  </w:abstractNum>
  <w:abstractNum w:abstractNumId="512544">
    <w:lvl>
      <w:start w:val="2"/>
      <w:numFmt w:val="decimal"/>
      <w:suff w:val="tab"/>
      <w:lvlText w:val="%1."/>
      <w:rPr>
        <w:color w:val="3370ff"/>
      </w:rPr>
    </w:lvl>
  </w:abstractNum>
  <w:abstractNum w:abstractNumId="512545">
    <w:lvl>
      <w:start w:val="1"/>
      <w:numFmt w:val="decimal"/>
      <w:suff w:val="tab"/>
      <w:lvlText w:val="%1."/>
      <w:rPr>
        <w:color w:val="3370ff"/>
      </w:rPr>
    </w:lvl>
  </w:abstractNum>
  <w:abstractNum w:abstractNumId="512546">
    <w:lvl>
      <w:start w:val="2"/>
      <w:numFmt w:val="decimal"/>
      <w:suff w:val="tab"/>
      <w:lvlText w:val="%1."/>
      <w:rPr>
        <w:color w:val="3370ff"/>
      </w:rPr>
    </w:lvl>
  </w:abstractNum>
  <w:abstractNum w:abstractNumId="512547">
    <w:lvl>
      <w:start w:val="1"/>
      <w:numFmt w:val="decimal"/>
      <w:suff w:val="tab"/>
      <w:lvlText w:val="%1."/>
      <w:rPr>
        <w:color w:val="3370ff"/>
      </w:rPr>
    </w:lvl>
  </w:abstractNum>
  <w:abstractNum w:abstractNumId="512548">
    <w:lvl>
      <w:start w:val="2"/>
      <w:numFmt w:val="decimal"/>
      <w:suff w:val="tab"/>
      <w:lvlText w:val="%1."/>
      <w:rPr>
        <w:color w:val="3370ff"/>
      </w:rPr>
    </w:lvl>
  </w:abstractNum>
  <w:abstractNum w:abstractNumId="512549">
    <w:lvl>
      <w:start w:val="1"/>
      <w:numFmt w:val="decimal"/>
      <w:suff w:val="tab"/>
      <w:lvlText w:val="%1."/>
      <w:rPr>
        <w:color w:val="3370ff"/>
      </w:rPr>
    </w:lvl>
  </w:abstractNum>
  <w:abstractNum w:abstractNumId="512550">
    <w:lvl>
      <w:start w:val="2"/>
      <w:numFmt w:val="decimal"/>
      <w:suff w:val="tab"/>
      <w:lvlText w:val="%1."/>
      <w:rPr>
        <w:color w:val="3370ff"/>
      </w:rPr>
    </w:lvl>
  </w:abstractNum>
  <w:abstractNum w:abstractNumId="512551">
    <w:lvl>
      <w:start w:val="3"/>
      <w:numFmt w:val="decimal"/>
      <w:suff w:val="tab"/>
      <w:lvlText w:val="%1."/>
      <w:rPr>
        <w:color w:val="3370ff"/>
      </w:rPr>
    </w:lvl>
  </w:abstractNum>
  <w:abstractNum w:abstractNumId="512552">
    <w:lvl>
      <w:start w:val="1"/>
      <w:numFmt w:val="decimal"/>
      <w:suff w:val="tab"/>
      <w:lvlText w:val="%1."/>
      <w:rPr>
        <w:color w:val="3370ff"/>
      </w:rPr>
    </w:lvl>
  </w:abstractNum>
  <w:abstractNum w:abstractNumId="512553">
    <w:lvl>
      <w:start w:val="2"/>
      <w:numFmt w:val="decimal"/>
      <w:suff w:val="tab"/>
      <w:lvlText w:val="%1."/>
      <w:rPr>
        <w:color w:val="3370ff"/>
      </w:rPr>
    </w:lvl>
  </w:abstractNum>
  <w:abstractNum w:abstractNumId="512554">
    <w:lvl>
      <w:start w:val="1"/>
      <w:numFmt w:val="lowerLetter"/>
      <w:suff w:val="tab"/>
      <w:lvlText w:val="%1."/>
      <w:rPr>
        <w:color w:val="3370ff"/>
      </w:rPr>
    </w:lvl>
  </w:abstractNum>
  <w:abstractNum w:abstractNumId="512555">
    <w:lvl>
      <w:start w:val="2"/>
      <w:numFmt w:val="lowerLetter"/>
      <w:suff w:val="tab"/>
      <w:lvlText w:val="%1."/>
      <w:rPr>
        <w:color w:val="3370ff"/>
      </w:rPr>
    </w:lvl>
  </w:abstractNum>
  <w:abstractNum w:abstractNumId="512556">
    <w:lvl>
      <w:start w:val="1"/>
      <w:numFmt w:val="lowerRoman"/>
      <w:suff w:val="tab"/>
      <w:lvlText w:val="%1."/>
      <w:rPr>
        <w:color w:val="3370ff"/>
      </w:rPr>
    </w:lvl>
  </w:abstractNum>
  <w:abstractNum w:abstractNumId="512557">
    <w:lvl>
      <w:start w:val="2"/>
      <w:numFmt w:val="lowerRoman"/>
      <w:suff w:val="tab"/>
      <w:lvlText w:val="%1."/>
      <w:rPr>
        <w:color w:val="3370ff"/>
      </w:rPr>
    </w:lvl>
  </w:abstractNum>
  <w:abstractNum w:abstractNumId="512558">
    <w:lvl>
      <w:start w:val="3"/>
      <w:numFmt w:val="lowerRoman"/>
      <w:suff w:val="tab"/>
      <w:lvlText w:val="%1."/>
      <w:rPr>
        <w:color w:val="3370ff"/>
      </w:rPr>
    </w:lvl>
  </w:abstractNum>
  <w:abstractNum w:abstractNumId="512559">
    <w:lvl>
      <w:start w:val="4"/>
      <w:numFmt w:val="lowerRoman"/>
      <w:suff w:val="tab"/>
      <w:lvlText w:val="%1."/>
      <w:rPr>
        <w:color w:val="3370ff"/>
      </w:rPr>
    </w:lvl>
  </w:abstractNum>
  <w:abstractNum w:abstractNumId="512560">
    <w:lvl>
      <w:start w:val="5"/>
      <w:numFmt w:val="lowerRoman"/>
      <w:suff w:val="tab"/>
      <w:lvlText w:val="%1."/>
      <w:rPr>
        <w:color w:val="3370ff"/>
      </w:rPr>
    </w:lvl>
  </w:abstractNum>
  <w:abstractNum w:abstractNumId="512561">
    <w:lvl>
      <w:numFmt w:val="bullet"/>
      <w:suff w:val="tab"/>
      <w:lvlText w:val="•"/>
      <w:rPr>
        <w:color w:val="3370ff"/>
      </w:rPr>
    </w:lvl>
  </w:abstractNum>
  <w:abstractNum w:abstractNumId="512562">
    <w:lvl>
      <w:numFmt w:val="bullet"/>
      <w:suff w:val="tab"/>
      <w:lvlText w:val="•"/>
      <w:rPr>
        <w:color w:val="3370ff"/>
      </w:rPr>
    </w:lvl>
  </w:abstractNum>
  <w:abstractNum w:abstractNumId="512563">
    <w:lvl>
      <w:numFmt w:val="bullet"/>
      <w:suff w:val="tab"/>
      <w:lvlText w:val="•"/>
      <w:rPr>
        <w:color w:val="3370ff"/>
      </w:rPr>
    </w:lvl>
  </w:abstractNum>
  <w:abstractNum w:abstractNumId="512564">
    <w:lvl>
      <w:numFmt w:val="bullet"/>
      <w:suff w:val="tab"/>
      <w:lvlText w:val="•"/>
      <w:rPr>
        <w:color w:val="3370ff"/>
      </w:rPr>
    </w:lvl>
  </w:abstractNum>
  <w:abstractNum w:abstractNumId="512565">
    <w:lvl>
      <w:numFmt w:val="bullet"/>
      <w:suff w:val="tab"/>
      <w:lvlText w:val="•"/>
      <w:rPr>
        <w:color w:val="3370ff"/>
      </w:rPr>
    </w:lvl>
  </w:abstractNum>
  <w:abstractNum w:abstractNumId="512566">
    <w:lvl>
      <w:numFmt w:val="bullet"/>
      <w:suff w:val="tab"/>
      <w:lvlText w:val="•"/>
      <w:rPr>
        <w:color w:val="3370ff"/>
      </w:rPr>
    </w:lvl>
  </w:abstractNum>
  <w:abstractNum w:abstractNumId="512567">
    <w:lvl>
      <w:numFmt w:val="bullet"/>
      <w:suff w:val="tab"/>
      <w:lvlText w:val="•"/>
      <w:rPr>
        <w:color w:val="3370ff"/>
      </w:rPr>
    </w:lvl>
  </w:abstractNum>
  <w:abstractNum w:abstractNumId="512568">
    <w:lvl>
      <w:numFmt w:val="bullet"/>
      <w:suff w:val="tab"/>
      <w:lvlText w:val="•"/>
      <w:rPr>
        <w:color w:val="3370ff"/>
      </w:rPr>
    </w:lvl>
  </w:abstractNum>
  <w:abstractNum w:abstractNumId="512569">
    <w:lvl>
      <w:numFmt w:val="bullet"/>
      <w:suff w:val="tab"/>
      <w:lvlText w:val="•"/>
      <w:rPr>
        <w:color w:val="3370ff"/>
      </w:rPr>
    </w:lvl>
  </w:abstractNum>
  <w:abstractNum w:abstractNumId="512570">
    <w:lvl>
      <w:numFmt w:val="bullet"/>
      <w:suff w:val="tab"/>
      <w:lvlText w:val="•"/>
      <w:rPr>
        <w:color w:val="3370ff"/>
      </w:rPr>
    </w:lvl>
  </w:abstractNum>
  <w:abstractNum w:abstractNumId="512571">
    <w:lvl>
      <w:numFmt w:val="bullet"/>
      <w:suff w:val="tab"/>
      <w:lvlText w:val="•"/>
      <w:rPr>
        <w:color w:val="3370ff"/>
      </w:rPr>
    </w:lvl>
  </w:abstractNum>
  <w:abstractNum w:abstractNumId="512572">
    <w:lvl>
      <w:numFmt w:val="bullet"/>
      <w:suff w:val="tab"/>
      <w:lvlText w:val="•"/>
      <w:rPr>
        <w:color w:val="3370ff"/>
      </w:rPr>
    </w:lvl>
  </w:abstractNum>
  <w:num w:numId="1">
    <w:abstractNumId w:val="512515"/>
  </w:num>
  <w:num w:numId="2">
    <w:abstractNumId w:val="512516"/>
  </w:num>
  <w:num w:numId="3">
    <w:abstractNumId w:val="512517"/>
  </w:num>
  <w:num w:numId="4">
    <w:abstractNumId w:val="512518"/>
  </w:num>
  <w:num w:numId="5">
    <w:abstractNumId w:val="512519"/>
  </w:num>
  <w:num w:numId="6">
    <w:abstractNumId w:val="512520"/>
  </w:num>
  <w:num w:numId="7">
    <w:abstractNumId w:val="512521"/>
  </w:num>
  <w:num w:numId="8">
    <w:abstractNumId w:val="512522"/>
  </w:num>
  <w:num w:numId="9">
    <w:abstractNumId w:val="512523"/>
  </w:num>
  <w:num w:numId="10">
    <w:abstractNumId w:val="512524"/>
  </w:num>
  <w:num w:numId="11">
    <w:abstractNumId w:val="512525"/>
  </w:num>
  <w:num w:numId="12">
    <w:abstractNumId w:val="512526"/>
  </w:num>
  <w:num w:numId="13">
    <w:abstractNumId w:val="512527"/>
  </w:num>
  <w:num w:numId="14">
    <w:abstractNumId w:val="512528"/>
  </w:num>
  <w:num w:numId="15">
    <w:abstractNumId w:val="512529"/>
  </w:num>
  <w:num w:numId="16">
    <w:abstractNumId w:val="512530"/>
  </w:num>
  <w:num w:numId="17">
    <w:abstractNumId w:val="512531"/>
  </w:num>
  <w:num w:numId="18">
    <w:abstractNumId w:val="512532"/>
  </w:num>
  <w:num w:numId="19">
    <w:abstractNumId w:val="512533"/>
  </w:num>
  <w:num w:numId="20">
    <w:abstractNumId w:val="512534"/>
  </w:num>
  <w:num w:numId="21">
    <w:abstractNumId w:val="512535"/>
  </w:num>
  <w:num w:numId="22">
    <w:abstractNumId w:val="512536"/>
  </w:num>
  <w:num w:numId="23">
    <w:abstractNumId w:val="512537"/>
  </w:num>
  <w:num w:numId="24">
    <w:abstractNumId w:val="512538"/>
  </w:num>
  <w:num w:numId="25">
    <w:abstractNumId w:val="512539"/>
  </w:num>
  <w:num w:numId="26">
    <w:abstractNumId w:val="512540"/>
  </w:num>
  <w:num w:numId="27">
    <w:abstractNumId w:val="512541"/>
  </w:num>
  <w:num w:numId="28">
    <w:abstractNumId w:val="512542"/>
  </w:num>
  <w:num w:numId="29">
    <w:abstractNumId w:val="512543"/>
  </w:num>
  <w:num w:numId="30">
    <w:abstractNumId w:val="512544"/>
  </w:num>
  <w:num w:numId="31">
    <w:abstractNumId w:val="512545"/>
  </w:num>
  <w:num w:numId="32">
    <w:abstractNumId w:val="512546"/>
  </w:num>
  <w:num w:numId="33">
    <w:abstractNumId w:val="512547"/>
  </w:num>
  <w:num w:numId="34">
    <w:abstractNumId w:val="512548"/>
  </w:num>
  <w:num w:numId="35">
    <w:abstractNumId w:val="512549"/>
  </w:num>
  <w:num w:numId="36">
    <w:abstractNumId w:val="512550"/>
  </w:num>
  <w:num w:numId="37">
    <w:abstractNumId w:val="512551"/>
  </w:num>
  <w:num w:numId="38">
    <w:abstractNumId w:val="512552"/>
  </w:num>
  <w:num w:numId="39">
    <w:abstractNumId w:val="512553"/>
  </w:num>
  <w:num w:numId="40">
    <w:abstractNumId w:val="512554"/>
  </w:num>
  <w:num w:numId="41">
    <w:abstractNumId w:val="512555"/>
  </w:num>
  <w:num w:numId="42">
    <w:abstractNumId w:val="512556"/>
  </w:num>
  <w:num w:numId="43">
    <w:abstractNumId w:val="512557"/>
  </w:num>
  <w:num w:numId="44">
    <w:abstractNumId w:val="512558"/>
  </w:num>
  <w:num w:numId="45">
    <w:abstractNumId w:val="512559"/>
  </w:num>
  <w:num w:numId="46">
    <w:abstractNumId w:val="512560"/>
  </w:num>
  <w:num w:numId="47">
    <w:abstractNumId w:val="512561"/>
  </w:num>
  <w:num w:numId="48">
    <w:abstractNumId w:val="512562"/>
  </w:num>
  <w:num w:numId="49">
    <w:abstractNumId w:val="512563"/>
  </w:num>
  <w:num w:numId="50">
    <w:abstractNumId w:val="512564"/>
  </w:num>
  <w:num w:numId="51">
    <w:abstractNumId w:val="512565"/>
  </w:num>
  <w:num w:numId="52">
    <w:abstractNumId w:val="512566"/>
  </w:num>
  <w:num w:numId="53">
    <w:abstractNumId w:val="512567"/>
  </w:num>
  <w:num w:numId="54">
    <w:abstractNumId w:val="512568"/>
  </w:num>
  <w:num w:numId="55">
    <w:abstractNumId w:val="512569"/>
  </w:num>
  <w:num w:numId="56">
    <w:abstractNumId w:val="512570"/>
  </w:num>
  <w:num w:numId="57">
    <w:abstractNumId w:val="512571"/>
  </w:num>
  <w:num w:numId="58">
    <w:abstractNumId w:val="51257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applink.feishu.cn/client/mini_program/open?appId=cli_9cb844403dbb9108&amp;mode=appCenter&amp;path=pages/detail/index?instanceId=7438442120451784707&amp;path_pc=pc/pages/in-process/index?instanceId=7438442120451784707" TargetMode="External" Type="http://schemas.openxmlformats.org/officeDocument/2006/relationships/hyperlink"/><Relationship Id="rId5" Target="https://ccpg1987.feishu.cn/wiki/ZiIywibJMiEIKSkmT89cT6twndc?from=from_copylink" TargetMode="External" Type="http://schemas.openxmlformats.org/officeDocument/2006/relationships/hyperlink"/><Relationship Id="rId6" Target="numbering.xml" Type="http://schemas.openxmlformats.org/officeDocument/2006/relationships/numbering"/><Relationship Id="rId7" Target="https://ccpg1987.feishu.cn/wiki/HVJiwSNjPiVm7EkQBupcuT3HnEK?from=from_copylink" TargetMode="External" Type="http://schemas.openxmlformats.org/officeDocument/2006/relationships/hyperlink"/><Relationship Id="rId8"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2026-10-10T02:10:21Z</dcterms:created>
  <dc:creator>Apache POI</dc:creator>
</cp:coreProperties>
</file>