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5.1.4.1-4 管理处项目等级定级指导标准 CCPG╱B-5.1.4.1-B-004 F/0 -审批版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🏷文控信息卡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管理处项目等级定级指导标准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CCPG╱B-5.1.4.1-B-004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2024年6月1日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2025年6月1日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人才管理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规划人才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@张家瑶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5.1.4 实施和维护组织设计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人力行政中心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5.1.4.1 组织机构管理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@余颂东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2024年6月1日：初版发行（F/0）-张家瑶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1f2329"/>
          <w:sz w:val="36"/>
        </w:rPr>
        <w:t>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根据管理处的规模情况和对公司价值的贡献</w:t>
      </w:r>
      <w:r>
        <w:rPr>
          <w:rFonts w:eastAsia="等线" w:ascii="Arial" w:cs="Arial" w:hAnsi="Arial"/>
          <w:sz w:val="22"/>
        </w:rPr>
        <w:t>等因素</w:t>
      </w:r>
      <w:r>
        <w:rPr>
          <w:rFonts w:eastAsia="等线" w:ascii="Arial" w:cs="Arial" w:hAnsi="Arial"/>
          <w:sz w:val="22"/>
        </w:rPr>
        <w:t>，确定管理处项目等级，以便公司合理运用内外部资源。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1f2329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本指导标准适用于物业管理处项目等级定级。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1f2329"/>
          <w:sz w:val="36"/>
        </w:rPr>
        <w:t>角色与职责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角色名称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职责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项目经理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根据业务现状和运营需要，发起管理处项目等级调整流程。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城区运营交付总监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审核理处项目等级调整的必要性，并督促项目在评级参数变化可能导致等级调整时，及时发起调整流程。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事业部财经管理部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</w:t>
            </w:r>
            <w:r>
              <w:rPr>
                <w:rFonts w:eastAsia="等线" w:ascii="Arial" w:cs="Arial" w:hAnsi="Arial"/>
                <w:sz w:val="22"/>
              </w:rPr>
              <w:t>管理处项目等级调整所需的依据参数和证实性材料。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事业部SC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</w:t>
            </w:r>
            <w:r>
              <w:rPr>
                <w:rFonts w:eastAsia="等线" w:ascii="Arial" w:cs="Arial" w:hAnsi="Arial"/>
                <w:sz w:val="22"/>
              </w:rPr>
              <w:t>管理处项目等级调整决定。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事业部人力行政总监&amp;</w:t>
            </w:r>
            <w:r>
              <w:rPr>
                <w:rFonts w:eastAsia="等线" w:ascii="Arial" w:cs="Arial" w:hAnsi="Arial"/>
                <w:b w:val="true"/>
                <w:sz w:val="22"/>
              </w:rPr>
              <w:t>集团组织与发展经理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负责“组织成立流程”或“管理处项目等级调级流程“的后续相关执行操作，包括将管理处项目等级数据备案维护至决策分析平台。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3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管理处项目等级定级仅考虑管理处基础信息中的相关关键因素，不考虑管理处任职人员的因素。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管理处项目等级实行动态管理，如因相关关键数据发生变化而导致与项目等级条件不相符时，应进行相应调整。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管理处项目等级主要</w:t>
      </w:r>
      <w:r>
        <w:rPr>
          <w:rFonts w:eastAsia="等线" w:ascii="Arial" w:cs="Arial" w:hAnsi="Arial"/>
          <w:sz w:val="22"/>
        </w:rPr>
        <w:t>应用于</w:t>
      </w:r>
      <w:r>
        <w:rPr>
          <w:rFonts w:eastAsia="等线" w:ascii="Arial" w:cs="Arial" w:hAnsi="Arial"/>
          <w:sz w:val="22"/>
        </w:rPr>
        <w:t>“管理处人员定编”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“管理处</w:t>
      </w:r>
      <w:r>
        <w:rPr>
          <w:rFonts w:eastAsia="等线" w:ascii="Arial" w:cs="Arial" w:hAnsi="Arial"/>
          <w:sz w:val="22"/>
        </w:rPr>
        <w:t>项目</w:t>
      </w:r>
      <w:r>
        <w:rPr>
          <w:rFonts w:eastAsia="等线" w:ascii="Arial" w:cs="Arial" w:hAnsi="Arial"/>
          <w:sz w:val="22"/>
        </w:rPr>
        <w:t>经理标准职级定级”</w:t>
      </w:r>
      <w:r>
        <w:rPr>
          <w:rFonts w:eastAsia="等线" w:ascii="Arial" w:cs="Arial" w:hAnsi="Arial"/>
          <w:sz w:val="22"/>
        </w:rPr>
        <w:t>以及“财务预算定额”等事项</w:t>
      </w:r>
      <w:r>
        <w:rPr>
          <w:rFonts w:eastAsia="等线" w:ascii="Arial" w:cs="Arial" w:hAnsi="Arial"/>
          <w:sz w:val="22"/>
        </w:rPr>
        <w:t>，其他流程域的应用以其各自文件规定为准。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管理处项目等级在确定或调整后，所有与管理处项目等级相关的应用，应从确定或调整之日起生效，集团另有规定的除外。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管理处项目等级定级指导标准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定级指导标准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625"/>
        <w:gridCol w:w="2205"/>
        <w:gridCol w:w="249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项目等级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X：</w:t>
            </w:r>
            <w:r>
              <w:rPr>
                <w:rFonts w:eastAsia="等线" w:ascii="Arial" w:cs="Arial" w:hAnsi="Arial"/>
                <w:b w:val="true"/>
                <w:sz w:val="22"/>
              </w:rPr>
              <w:t>建筑面积（万M²）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Y：</w:t>
            </w:r>
            <w:r>
              <w:rPr>
                <w:rFonts w:eastAsia="等线" w:ascii="Arial" w:cs="Arial" w:hAnsi="Arial"/>
                <w:b w:val="true"/>
                <w:sz w:val="22"/>
              </w:rPr>
              <w:t>年销售收入（万元）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Z：</w:t>
            </w:r>
            <w:r>
              <w:rPr>
                <w:rFonts w:eastAsia="等线" w:ascii="Arial" w:cs="Arial" w:hAnsi="Arial"/>
                <w:b w:val="true"/>
                <w:sz w:val="22"/>
              </w:rPr>
              <w:t>年净利润（万元）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X≥30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Y≥800 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Z≥80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30&gt;X≥15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800&gt;Y≥300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80&gt;Z≥30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</w:t>
            </w:r>
            <w:r>
              <w:rPr>
                <w:rFonts w:eastAsia="等线" w:ascii="Arial" w:cs="Arial" w:hAnsi="Arial"/>
                <w:sz w:val="22"/>
              </w:rPr>
              <w:t>＜15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  <w:r>
              <w:rPr>
                <w:rFonts w:eastAsia="等线" w:ascii="Arial" w:cs="Arial" w:hAnsi="Arial"/>
                <w:sz w:val="22"/>
              </w:rPr>
              <w:t>＜300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Z</w:t>
            </w:r>
            <w:r>
              <w:rPr>
                <w:rFonts w:eastAsia="等线" w:ascii="Arial" w:cs="Arial" w:hAnsi="Arial"/>
                <w:sz w:val="22"/>
              </w:rPr>
              <w:t>＜30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定级原则</w:t>
      </w:r>
      <w:bookmarkEnd w:id="6"/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管理处项目等级定级，必须满足上述三项管理处基础信息关键要素任一条件，最终以就高不就低的原则确定项目等级。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管理处项目等级定级或调级流程</w:t>
      </w:r>
      <w:bookmarkEnd w:id="7"/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管理处项目等级数据应经过“组织成立流程”或“管理处项目等级调级流程“审批，完成审批后由集团人力行政中心备案维护至决策分析平台。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管理处项目等级的定级及调整，应提供定级依据参数以及对应的证实性材料，定级调整的依据参数应为上年度的实际数据，并当年度的预算数据不低于上年度。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管理处项目等级定级流程：</w:t>
      </w:r>
      <w:bookmarkEnd w:id="8"/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管理处项目等级定级与组织成立流程同步，完成基本经营单元组织成立流程审批后，由</w:t>
      </w:r>
      <w:r>
        <w:rPr>
          <w:rFonts w:eastAsia="等线" w:ascii="Arial" w:cs="Arial" w:hAnsi="Arial"/>
          <w:sz w:val="22"/>
        </w:rPr>
        <w:t>事业部人力行政部门负责跟进后续事项，并由</w:t>
      </w:r>
      <w:r>
        <w:rPr>
          <w:rFonts w:eastAsia="等线" w:ascii="Arial" w:cs="Arial" w:hAnsi="Arial"/>
          <w:sz w:val="22"/>
        </w:rPr>
        <w:t>集团人力行政中心完成备案，将管理处项目等级数据维护至“决策分析平台”。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管理处项目等级调整流程：</w:t>
      </w:r>
      <w:bookmarkEnd w:id="9"/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由管理处经理发起，经城区SC审批后，由事业部财经管理部核实依据参数和证实性材料，最后由事业部SC审批。完成审批后，由</w:t>
      </w:r>
      <w:r>
        <w:rPr>
          <w:rFonts w:eastAsia="等线" w:ascii="Arial" w:cs="Arial" w:hAnsi="Arial"/>
          <w:sz w:val="22"/>
        </w:rPr>
        <w:t>事业部人力行政部门负责跟进后续事项，并由</w:t>
      </w:r>
      <w:r>
        <w:rPr>
          <w:rFonts w:eastAsia="等线" w:ascii="Arial" w:cs="Arial" w:hAnsi="Arial"/>
          <w:sz w:val="22"/>
        </w:rPr>
        <w:t>集团人力行政中心完成备案，将管理处项目等级数据维护至“决策分析平台”。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1f2329"/>
          <w:sz w:val="36"/>
        </w:rPr>
        <w:t>支持文件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5385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文件编号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</w:t>
            </w: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名称/链接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/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06580">
    <w:lvl>
      <w:start w:val="1"/>
      <w:numFmt w:val="lowerLetter"/>
      <w:suff w:val="tab"/>
      <w:lvlText w:val="%1."/>
      <w:rPr>
        <w:color w:val="3370ff"/>
      </w:rPr>
    </w:lvl>
  </w:abstractNum>
  <w:abstractNum w:abstractNumId="2006581">
    <w:lvl>
      <w:start w:val="2"/>
      <w:numFmt w:val="lowerLetter"/>
      <w:suff w:val="tab"/>
      <w:lvlText w:val="%1."/>
      <w:rPr>
        <w:color w:val="3370ff"/>
      </w:rPr>
    </w:lvl>
  </w:abstractNum>
  <w:abstractNum w:abstractNumId="2006582">
    <w:lvl>
      <w:start w:val="3"/>
      <w:numFmt w:val="lowerLetter"/>
      <w:suff w:val="tab"/>
      <w:lvlText w:val="%1."/>
      <w:rPr>
        <w:color w:val="3370ff"/>
      </w:rPr>
    </w:lvl>
  </w:abstractNum>
  <w:abstractNum w:abstractNumId="2006583">
    <w:lvl>
      <w:start w:val="4"/>
      <w:numFmt w:val="lowerLetter"/>
      <w:suff w:val="tab"/>
      <w:lvlText w:val="%1."/>
      <w:rPr>
        <w:color w:val="3370ff"/>
      </w:rPr>
    </w:lvl>
  </w:abstractNum>
  <w:abstractNum w:abstractNumId="2006584">
    <w:lvl>
      <w:start w:val="1"/>
      <w:numFmt w:val="lowerLetter"/>
      <w:suff w:val="tab"/>
      <w:lvlText w:val="%1."/>
      <w:rPr>
        <w:color w:val="3370ff"/>
      </w:rPr>
    </w:lvl>
  </w:abstractNum>
  <w:abstractNum w:abstractNumId="2006585">
    <w:lvl>
      <w:start w:val="1"/>
      <w:numFmt w:val="lowerLetter"/>
      <w:suff w:val="tab"/>
      <w:lvlText w:val="%1."/>
      <w:rPr>
        <w:color w:val="3370ff"/>
      </w:rPr>
    </w:lvl>
  </w:abstractNum>
  <w:abstractNum w:abstractNumId="2006586">
    <w:lvl>
      <w:start w:val="2"/>
      <w:numFmt w:val="lowerLetter"/>
      <w:suff w:val="tab"/>
      <w:lvlText w:val="%1."/>
      <w:rPr>
        <w:color w:val="3370ff"/>
      </w:rPr>
    </w:lvl>
  </w:abstractNum>
  <w:abstractNum w:abstractNumId="2006587">
    <w:lvl>
      <w:start w:val="1"/>
      <w:numFmt w:val="lowerLetter"/>
      <w:suff w:val="tab"/>
      <w:lvlText w:val="%1."/>
      <w:rPr>
        <w:color w:val="3370ff"/>
      </w:rPr>
    </w:lvl>
  </w:abstractNum>
  <w:abstractNum w:abstractNumId="2006588">
    <w:lvl>
      <w:start w:val="1"/>
      <w:numFmt w:val="lowerLetter"/>
      <w:suff w:val="tab"/>
      <w:lvlText w:val="%1."/>
      <w:rPr>
        <w:color w:val="3370ff"/>
      </w:rPr>
    </w:lvl>
  </w:abstractNum>
  <w:num w:numId="1">
    <w:abstractNumId w:val="2006580"/>
  </w:num>
  <w:num w:numId="2">
    <w:abstractNumId w:val="2006581"/>
  </w:num>
  <w:num w:numId="3">
    <w:abstractNumId w:val="2006582"/>
  </w:num>
  <w:num w:numId="4">
    <w:abstractNumId w:val="2006583"/>
  </w:num>
  <w:num w:numId="5">
    <w:abstractNumId w:val="2006584"/>
  </w:num>
  <w:num w:numId="6">
    <w:abstractNumId w:val="2006585"/>
  </w:num>
  <w:num w:numId="7">
    <w:abstractNumId w:val="2006586"/>
  </w:num>
  <w:num w:numId="8">
    <w:abstractNumId w:val="2006587"/>
  </w:num>
  <w:num w:numId="9">
    <w:abstractNumId w:val="20065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ini_program/open?appId=cli_9cb844403dbb9108&amp;mode=appCenter&amp;path=pages/detail/index?instanceId=7376558402514665500&amp;path_pc=pc/pages/in-process/index?instanceId=7376558402514665500" TargetMode="External" Type="http://schemas.openxmlformats.org/officeDocument/2006/relationships/hyperlink"/><Relationship Id="rId5" Target="https://w8u32nmglo.feishu.cn/wiki/VREzwgDwKiE9eJkEFUQcSy2Ense?from=from_copylink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2026-10-10T02:10:28Z</dcterms:created>
  <dc:creator>Apache POI</dc:creator>
</cp:coreProperties>
</file>