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6.4 工作接口管理</w:t>
      </w:r>
      <w:r>
        <w:rPr>
          <w:rFonts w:eastAsia="等线" w:ascii="Arial" w:cs="Arial" w:hAnsi="Arial"/>
          <w:b w:val="true"/>
          <w:sz w:val="52"/>
        </w:rPr>
        <w:t>【样例】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城区级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435"/>
        <w:gridCol w:w="4845"/>
      </w:tblGrid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对接岗位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核心对接事项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城区共享服务中心经理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人才盘点、满意度测评、人力规划、用工风险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人力共享主管（招聘 / 员工关系 / 培训）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招聘全流程、入转调离、劳动纠纷、员工培训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人力共享主管（薪酬绩效）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考勤薪酬、绩效考核、人力预算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人力共享主管（采购行政）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一应荟采购、费用报销、印章、固定资产、档案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城区解决方案总监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增值业务运营、社区生态服务落地</w:t>
            </w:r>
          </w:p>
        </w:tc>
      </w:tr>
      <w:tr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城区社区关系总监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客户关系、投诉处理、收缴率提升、维修队管理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区域级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20"/>
        <w:gridCol w:w="5040"/>
      </w:tblGrid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对接部门 / 岗位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核心对接事项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 办公室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战略落地、经营计划、行政法务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市场发展部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项目拓展、客户关系、商机管理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服务运营部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体系稽查、运营指导、数字化运营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人力行政部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人才发展、绩效政策、组织建设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财经管理部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预算管理、财务核算、资金税务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大区 CMO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项目承接审批、市场拓展决策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大区 COO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经营计划审核、服务方案审批、运营督导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集团级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20"/>
        <w:gridCol w:w="5040"/>
      </w:tblGrid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对接部门 / 岗位</w:t>
            </w: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核心对接事项</w:t>
            </w: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2026-10-10T02:11:14Z</dcterms:created>
  <dc:creator>Apache POI</dc:creator>
</cp:coreProperties>
</file>