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9 外部供方的管理【模板】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服务供方台账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810"/>
        <w:gridCol w:w="810"/>
        <w:gridCol w:w="990"/>
        <w:gridCol w:w="810"/>
        <w:gridCol w:w="810"/>
        <w:gridCol w:w="1170"/>
        <w:gridCol w:w="157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供方名称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服务类别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合同编号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合同期限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年度/周期合同金额(万元)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联系电话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主要服务供方关键质量指标与绩效监控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110"/>
        <w:gridCol w:w="1110"/>
        <w:gridCol w:w="3075"/>
        <w:gridCol w:w="189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一级指标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得分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二级指标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三级量化规则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绩效监控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主要服务供方重要合同条款内容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385"/>
        <w:gridCol w:w="1665"/>
        <w:gridCol w:w="1755"/>
        <w:gridCol w:w="133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条款类别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条款内容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约定标准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违约责任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服务范围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服务标准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人员要求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保密义务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保险要求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主要服务供方违反合同条款的奖惩要求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2940"/>
        <w:gridCol w:w="2940"/>
        <w:gridCol w:w="130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违规等级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违规情形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惩戒措施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审批层级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轻度违规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中度违规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中度违规(合同中一般违约/较大违约)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严重违规（合同中重大违约）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优秀表现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主要服务供方评价与改进机制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</w:t>
      </w:r>
      <w:hyperlink r:id="rId4">
        <w:r>
          <w:rPr>
            <w:rFonts w:eastAsia="等线" w:ascii="Arial" w:cs="Arial" w:hAnsi="Arial"/>
            <w:color w:val="3370ff"/>
            <w:sz w:val="22"/>
          </w:rPr>
          <w:t>三保主要供方月度评价流程 P 3.3.3-001 F/0  -审批版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非主要服务供方关键质量指标、重要合同条款、违反合同条款、供方评价与改进机制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依据相应合同约定、周期服务类验收情况及公司评价进行改进。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cpg1987.feishu.cn/wiki/I5rlwSunTiTn8Hkvn3bcQ6iAn3f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2026-10-10T02:15:56Z</dcterms:created>
  <dc:creator>Apache POI</dc:creator>
</cp:coreProperties>
</file>