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9 外部供方的管理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服务供方台账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810"/>
        <w:gridCol w:w="810"/>
        <w:gridCol w:w="990"/>
        <w:gridCol w:w="810"/>
        <w:gridCol w:w="810"/>
        <w:gridCol w:w="1170"/>
        <w:gridCol w:w="157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供方名称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服务类别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合同编号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合同期限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年度/周期合同金额(万元)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负责人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联系电话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世纪中安（深圳）保安服务有限公司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秩序服务合同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CON20250721000028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20250701-20260630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114.47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史永国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15889309248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深圳市启明城市环境产业服务有限公司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保洁服务合同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CON20250721000012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20250701-20260630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48.12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车桂财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13924671970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深圳市长城楼宇科技有限公司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工程管理服务合同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CON2025123000025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20260101-20271231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17.40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刘军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13923782975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停车场+主园区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深圳市长绿园林有限公司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园艺服务合同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CON20260202000005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20260101-20271231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5.41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深圳市启明城市环境产业服务有限公司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化粪池清掏合同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CON20250807000010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20250801-20260730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0.77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车桂财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13924671970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深圳市正洁环境服务有限公司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垃圾清运服务合同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CON20251030000012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20250701-20260630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10.08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廖经理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18814228692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陕西康宁生物科技集团有限公司深圳分公司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消杀服务合同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CON20260309000007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20260301-20270831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宋创林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13510570702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主要服务供方关键质量指标与绩效监控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1110"/>
        <w:gridCol w:w="1110"/>
        <w:gridCol w:w="3075"/>
        <w:gridCol w:w="189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一级指标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得分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二级指标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三级量化规则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绩效监控</w:t>
            </w:r>
          </w:p>
        </w:tc>
      </w:tr>
      <w:tr>
        <w:tc>
          <w:tcPr>
            <w:tcW w:w="11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服务质量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20分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客户投诉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分数等同采用 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【     】月供方服务评价表.xlsx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 供方服务质量评价 的 2.1、客户投诉 的分数。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供方服务评价表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30分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服务不合格工单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分数等同采用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【     】月供方服务评价表.xlsx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 供方服务质量评价 的 2.2、服务不合格项 的分数。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供方服务评价表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加分项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加分项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分数等同采用 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【     】月供方服务评价表.xlsx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 供方服务质量评价 的 2.3、加分项 的分数。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供方服务评价表</w:t>
            </w:r>
          </w:p>
        </w:tc>
      </w:tr>
      <w:tr>
        <w:tc>
          <w:tcPr>
            <w:tcW w:w="111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履约交付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10分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员工更换率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员工更换率 = 员工当期实际更换人数/合同当期约定配置人数 ×100%。</w:t>
              <w:br/>
              <w:t>1. 当合同约定最低配置员工数量 ＜ 10人 时，遵循以下计算规则：员工更换率(实) = (合同约定最低配置员工数量/10) × 更换率</w:t>
              <w:br/>
            </w:r>
            <w:r>
              <w:rPr>
                <w:rFonts w:eastAsia="等线" w:ascii="Arial" w:cs="Arial" w:hAnsi="Arial"/>
                <w:sz w:val="22"/>
              </w:rPr>
              <w:t>2. 员工更换率阈值为10%。员工更换率低于阈值的，则为满分10分；高于阈值的，每高1%扣0.5分，员工更换率此条最低得0分；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服务费用确认审核表/相关系统</w:t>
            </w:r>
          </w:p>
        </w:tc>
      </w:tr>
      <w:tr>
        <w:tc>
          <w:tcPr>
            <w:tcW w:w="111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15分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员工缺岗率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1. 员工缺岗率等同采用 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3.4.2.6-8 月度服务费用确认审核表（非秩序环境事业部供方适用）CCPG_B-3.4.2.6-D-008 (1).xls</w:t>
              </w:r>
            </w:hyperlink>
            <w:r>
              <w:rPr>
                <w:rFonts w:eastAsia="等线" w:ascii="Arial" w:cs="Arial" w:hAnsi="Arial"/>
                <w:sz w:val="22"/>
              </w:rPr>
              <w:t>员工缺岗率计算规则。员工缺岗率 =（合同约定岗位月累计工日-（排班应出勤人数-缺勤人数+无排班但出勤的人数）*自然月天数）/合同约定岗位月累计工日</w:t>
              <w:br/>
            </w:r>
            <w:r>
              <w:rPr>
                <w:rFonts w:eastAsia="等线" w:ascii="Arial" w:cs="Arial" w:hAnsi="Arial"/>
                <w:sz w:val="22"/>
              </w:rPr>
              <w:t>2. 员工缺岗率阈值为1%。员工缺岗率低于阈值的，则为满分15分；高于阈值的，每高1%扣1分，员工缺岗率此条最低得0分；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服务费用确认审核表/相关系统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协同能力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25分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客户体验评价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客户体验评价= 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【     】月供方服务评价表.xlsx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 客户体验评价 的 综合评分总计分数 / 2 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供方服务评价表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合规性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扣分项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重大违约数量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评价周期内该专业服务的重大违约数量：</w:t>
              <w:br/>
              <w:t xml:space="preserve">  1. 一般违约 1 次扣 15 分；</w:t>
              <w:br/>
              <w:t xml:space="preserve">  2. 较大违约 1 次扣 20 分；</w:t>
              <w:br/>
              <w:t xml:space="preserve">  3. 重大违约 1 次本次供应商绩效管理指标评价得分为 0 分；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4. 提供虚假发票的，本次供应商绩效管理指标评价得分为 0 分；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合同违约条款/供方绩效管理指标得分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主要服务供方重要合同条款内容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2385"/>
        <w:gridCol w:w="1665"/>
        <w:gridCol w:w="1755"/>
        <w:gridCol w:w="1335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条款类别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条款内容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约定标准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违约责任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责任岗位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服务范围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建设红线范围内（不含公共收益区域）的日常秩序服务，包含地下车库定期巡逻、应急处理等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根据合同约定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甲方有权对乙方的服务质量进行月度现场评价，发现客户投诉的，甲方有权追究乙方的服务不合格责任；评价得分低于90分时，按每低1分扣减月度服务费的0.2%核算违约金（不同专业参照对应专业）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项目经理/运营交付经理/各专业主管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服务标准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甲方项目检查人员对乙方现场服务质量进行监视测量，按严重程度分为严重不合格（扣3分）、一般不合格（扣1分）进行打分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根据合同约定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累计3个月得分低于60分，甲方有权通知乙方提前终止合同，不构成违约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项目经理/运营交付经理/各专业主管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人员要求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岗位配置人员以附件《单个执行合同》为准；乙方派驻人员持有消防上岗证的数量不少于约定人数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根据合同约定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缺岗率4~8%扣除信用分25分，8~16%扣除信用分50分，16%以上直接解除合约并列黑名单；合同期内信用分达100分直接解除合约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项目经理/运营交付经理/各专业主管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保密义务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乙方应对甲方及其客户的商业秘密、业主个人信息实行最严格的保密义务，未经甲方书面同意，不得向第三方披露；保密义务不因本合同终止而终止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合同保密义务约定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赔偿甲方因此遭受的全部损失，并支付合同总金额30%的违约金；如甲方因泄密行为被追偿，鉴定费、法律服务费用等均由乙方承担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项目经理/运营交付经理/各专业主管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保险要求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为派驻员工缴交社会保险，对高风险岗位加保足额意外伤害保险；使用机动车辆应购买交强险+足额第三者责任险；购买足额雇主责任险及高空坠物保险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国家、地方法律法规及合同约定保额；保险凭证提交甲方核实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服务过程中发生的任何事故或对任何第三方产生的责任及损失，由乙方全部承担并负责处理纠纷，因服务费已包含该项费用，乙方支付完毕上述费用后无权向甲方追偿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项目经理/运营交付经理/各专业主管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主要服务供方违反合同条款的奖惩要求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2940"/>
        <w:gridCol w:w="2940"/>
        <w:gridCol w:w="1305"/>
      </w:tblGrid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违规等级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违规情形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惩戒措施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审批层级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轻度违规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服务轻微不达标（合同未明确违约金的轻微事项）；偶发出勤异常；未按规定穿戴制服或佩戴工牌；未按时参加管理处月例会等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口头警告+限期整改；整改不力则升级处理（甲方有权对乙方服务质量存在的缺陷或不符合项提出整改要求）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运营交付经理/各专业主管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中度违规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违约：十天内未落实更换或处分员工的；未参加社区活动（培训/创优/应急演练等）；未如实使用一应云平台；派驻员工未经核准直接上岗（违约金2000元/次）；不符合入职标准率5~20%（违约金200~500元/次）；员工月更换率20%~30%（违约金为月服务费/岗位数x0.5）；提供虚假发票（违约金为发票额度0.5倍）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按合同约定标准支付违约金（合同8.1.3~8.1.5、8.1.7条）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项目经理/运营交付经理/各专业主管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中度违规(合同中一般违约/较大违约)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较大违约：乙方或派驻员工出现违法犯罪行为或侵害甲方或客户利益的（违约金2万元/次）；月缺岗率4~8%扣除信用分25分，8~16%扣除信用分50分；月度评价低于90分按每低1分扣减月度服务费0.2%（不同专业参照对应专业）；无法提供合法有效发票（违约金为发票总金20%）；因乙方原因影响甲方生产运营（扣除未结算款项20%）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支付违约金2万元/次或扣除信用分+违约金比例扣除；累计信用分达100分或累计3个月得分低于60分可解除合约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项目经理/运营交付经理/各专业主管</w:t>
            </w:r>
          </w:p>
        </w:tc>
      </w:tr>
      <w:tr>
        <w:tc>
          <w:tcPr>
            <w:tcW w:w="10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严重违规（合同中重大违约）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生重大责任事件、造成重大负面社会影响的；发生涉及甲方品牌负面影响的聚众闹事恶性群体事件的；对甲方人员或客户进行恐吓、骚扰的；与他人勾结造成甲方物业管理权丧失的；派驻员工现场罢工的；造成甲方员工或客户受伤、死亡的；合同期满或终止拒不撤离物业项目的（违约金10万元/次）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除赔偿实际发生的全部经济损失外，支付违约金人民币10万元/次(或项)；甲方有权立即终止合同+扣除履约保证金+列入供应商黑名单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项目经理/运营交付经理/各专业主管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乙方违反保密义务，向第三方披露甲方及其客户的商业秘密、业主个人信息的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赔偿甲方因此遭受的全部损失+支付合同总金额30%的违约金；鉴定费、法律服务费用等均由乙方承担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项目经理/运营交付经理/各专业主管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优秀表现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月度现场评价得分持续高于90分；协议期满前60日内双方未提出异议的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续约优先：协议期满前60日内未提出异议，按原价格自动延期12个月，本合同约定的所有条款同样有效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项目经理/运营交付经理/各专业主管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主要服务供方评价与改进机制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详见</w:t>
      </w:r>
      <w:hyperlink r:id="rId9">
        <w:r>
          <w:rPr>
            <w:rFonts w:eastAsia="等线" w:ascii="Arial" w:cs="Arial" w:hAnsi="Arial"/>
            <w:color w:val="3370ff"/>
            <w:sz w:val="22"/>
          </w:rPr>
          <w:t>三保主要供方月度评价流程 P 3.3.3-001 F/0  -审批版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非主要服务供方关键质量指标、重要合同条款、违反合同条款、供方评价与改进机制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依据相应合同约定、周期服务类验收情况及公司评价进行改进。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ccpg1987.feishu.cn/file/BfhqbxqmKoAJdDxA7upciLK9nZf?office_edit=1" TargetMode="External" Type="http://schemas.openxmlformats.org/officeDocument/2006/relationships/hyperlink"/><Relationship Id="rId5" Target="https://ccpg1987.feishu.cn/file/BfhqbxqmKoAJdDxA7upciLK9nZf?office_edit=1" TargetMode="External" Type="http://schemas.openxmlformats.org/officeDocument/2006/relationships/hyperlink"/><Relationship Id="rId6" Target="https://ccpg1987.feishu.cn/file/BfhqbxqmKoAJdDxA7upciLK9nZf?office_edit=1" TargetMode="External" Type="http://schemas.openxmlformats.org/officeDocument/2006/relationships/hyperlink"/><Relationship Id="rId7" Target="https://ccpg1987.feishu.cn/file/JIMqbNQH9otvQYx4OcycbKjlnae?office_edit=1" TargetMode="External" Type="http://schemas.openxmlformats.org/officeDocument/2006/relationships/hyperlink"/><Relationship Id="rId8" Target="https://ccpg1987.feishu.cn/file/BfhqbxqmKoAJdDxA7upciLK9nZf?office_edit=1" TargetMode="External" Type="http://schemas.openxmlformats.org/officeDocument/2006/relationships/hyperlink"/><Relationship Id="rId9" Target="https://ccpg1987.feishu.cn/wiki/I5rlwSunTiTn8Hkvn3bcQ6iAn3f?from=from_copylink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2026-10-10T02:16:04Z</dcterms:created>
  <dc:creator>Apache POI</dc:creator>
</cp:coreProperties>
</file>