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 风险与应急管理</w:t>
      </w:r>
      <w:r>
        <w:rPr>
          <w:rFonts w:eastAsia="等线" w:ascii="Arial" w:cs="Arial" w:hAnsi="Arial"/>
          <w:b w:val="true"/>
          <w:sz w:val="52"/>
        </w:rPr>
        <w:t>【模板】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物业管理风险识别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1245"/>
        <w:gridCol w:w="2370"/>
        <w:gridCol w:w="1500"/>
        <w:gridCol w:w="660"/>
        <w:gridCol w:w="720"/>
        <w:gridCol w:w="915"/>
      </w:tblGrid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风险类别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风险名称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可能后果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发生概率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影响程度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风险等级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消防喷淋系统失效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喷淋管道锈蚀、阀门损坏、喷头堵塞导致系统无法正常启动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火灾时无法自动灭火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给排水系统故障/爆管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市政管网故障、二次供水设备故障、管道爆裂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大面积停水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燃气泄漏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管道老化、阀门失效、用户操作不当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爆炸、中毒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危险化学品存储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保洁/消杀药剂、油漆存储不当，标识不清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火灾爆炸、中毒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大面积停电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供电局线路故障、配电房设备故障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电梯停运、安防失效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火灾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电气故障、违规操作、烟头遗留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人员伤亡、财产损失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消防通道堵塞/设施损坏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通道堆放杂物、防火门常开、灭火器过期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疏散受阻，灭火延误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电气类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触电/电气安全隐患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配电箱漏电保护器失效、线路老化、雷击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伤亡、火灾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电气类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业主私拉电线充电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从高层拉电线至地面为电动车充电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触电、短路起火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高空坠物类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高空坠物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外墙脱落、广告牌松动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人员伤亡、车辆损坏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高空坠物类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楼顶设备/花盆坠落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太阳能支架锈蚀、阳台花盆未固定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大风坠落伤人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公共设施类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健身器材/游乐设施故障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器材轴承断裂、螺丝松动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摔伤、夹伤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公共设施类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景观水体/地面滑倒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水池无护栏、石材湿滑、积水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滑倒、儿童溺水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环境类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食物中毒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食堂餐饮食品卫生问题、食材变质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中毒、群体事件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环境类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绿化带枯枝/大树松动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干枯树枝未修剪、大树根基松动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砸伤、倒伏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环境类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病媒生物滋生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垃圾房/下水道鼠蟑蚊蝇滋生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传染病、投诉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防汛类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自然灾害（台风/暴雨/洪涝/地震）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台风、暴雨、洪涝、地震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设施损坏、服务中断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防汛类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地下车库排水管堵塞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管道淤积、排水泵故障、雨水倒灌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积水、车辆受损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装修管理违规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业主违规拆改承重墙、破坏防水层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结构隐患、漏水、邻里冲突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舆情管理风险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业主投诉在社交媒体发酵、负面报道扩散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品牌声誉严重受损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信息安全/数据泄露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业主个人信息、监控录像泄露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隐私侵权、诉讼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人员流失/外包方管理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关键岗位离职、外包方服务不达标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服务质量下降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防冻类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消防水管/水管保温层破损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室外管道保温层脱落、未做防冻处理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管道冻裂、消防失效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特种设备类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电梯困人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设备故障、停电、维保不及时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乘客恐慌、伤害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特种设备类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电梯紧急呼叫无响应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五方通话系统故障、对讲设备损坏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困人无法求救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人员操作类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有限空间作业风险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地下室/污水井密闭空间作业，通风不良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窒息、中毒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人员操作类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高空作业/临时用电风险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高空作业未系安全绳、临时用电无保护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坠落、触电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群体投诉/维权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服务不达标引发业主集体维权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媒体曝光、品牌受损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客户纠纷/费用欠缴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管理纠纷、业主大面积拖欠物业费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诉讼、资金紧张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风险评估与分级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2.1 </w:t>
      </w:r>
      <w:r>
        <w:rPr>
          <w:rFonts w:eastAsia="等线" w:ascii="Arial" w:cs="Arial" w:hAnsi="Arial"/>
          <w:b w:val="true"/>
          <w:sz w:val="28"/>
        </w:rPr>
        <w:t>风险评估法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095"/>
        <w:gridCol w:w="610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安全评价方法-LEC评分法</w:t>
            </w: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LEC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分值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定义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可能性（L）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几乎必然发生（如未维护的电梯超期运行）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很可能发生（如消防通道每月被占用3次以上）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可能发生（如外墙瓷砖每季度有脱落报告）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极少发生（如配电柜绝缘层破损但已隔离）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暴露频率（E）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持续暴露（如24小时运行的供水泵房）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每日暴露（如早晚高峰电梯使用）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每周暴露（如保洁高空作业）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每年暴露（如防汛沙袋检查）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后果严重性（C）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特大后果（3人以上死亡/直接损失500万元以上）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严重后果（1人死亡/损失100万-500万元）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中度后果（人员重伤/损失10万-100万元）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轻微后果（轻伤/损失1万-10万元）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备注:风险分值D=LEC。D值越大，说明该系统危险性大，需要增加安全措施，或改变发生事故的可能性，或减少人体暴露于危险环境中的频繁程度，或减轻事故损失，直至调整到允许范围内。</w:t>
            </w: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2.2 </w:t>
      </w:r>
      <w:r>
        <w:rPr>
          <w:rFonts w:eastAsia="等线" w:ascii="Arial" w:cs="Arial" w:hAnsi="Arial"/>
          <w:b w:val="true"/>
          <w:sz w:val="28"/>
        </w:rPr>
        <w:t>风险等级判定标准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780"/>
        <w:gridCol w:w="930"/>
        <w:gridCol w:w="5775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风险等级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颜色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D值范围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管控要求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重大风险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红色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 &gt;= 320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规避：1小时内报备集团安全管理委员会，制定专项预案，采取封闭隔离+技术措施+制度规范+监控报警+应急响应组合措施。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较大风险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橙色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160&lt;=D&lt;320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降低/转移：立即报备城区安全管理小组，24小时内报备区域安全管理小组，制定应急预案，加强监测和培训教育，必要时购买保险转移风险。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一般风险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黄色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20&lt;=D&lt;160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降低：24小时内报备城区安全管理小组，一周内报备区域，纳入日常监控，定期评估，实施培训教育。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低风险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蓝色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 &lt; 20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接受：每天报备项目安全管理员，保持关注，持续监控，配备个体防护装备。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风险应对策略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风险管理职责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657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风险管理职责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全面负责项目风险管理工作，审批重大风险管控方案和应急预案，确保风险管理与项目目标一致，协调内外部资源。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项目安全管理员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统筹组织风险识别、评估及分级，维护风险数据库和四色分布图，组织应急演练，监督隐患排查整改，保留有关风险评估和应对措施的文件化信息（ISO 31000 第6.7条）。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秩序主管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负责治安、消防、交通安全风险管控，落实消防设施巡检，组织消防和治安应急演练。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工程主管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负责设备设施运行安全风险管控，落实电梯、供配电、给排水、消防设备维保和隐患排查。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客服主管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负责客户纠纷、群体投诉、舆情管理风险的预防和处置，负责应急事件中与业主的沟通协调和信息发布。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环境主管（保洁/绿化）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负责保洁、绿化作业安全风险管控，落实危险化学品存储管理，负责环境卫生突发事件处置。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项目各类员工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开展风险分级管控工作，落实隐患排查，发现风险及时报告，遵守操作规程，参加应急演练和培训。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风险应对措施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065"/>
        <w:gridCol w:w="631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控制标准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具体措施（封闭隔离/技术措施/制度规范/监控报警/培训教育/风险转移/个体防护）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规避（红色）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D&gt;=320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1.风险报备：立即报备区域安全管理小组，1小时内报备集团安全管理委员会。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2.封闭隔离：设置物理屏障，拉起警戒线，限制危险源影响范围。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3.技术措施：更换损坏设施，布置防风沙袋，优化工艺参数。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4.制度规范：严格执行作业停止制度，所有相关作业全部停止。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5.监控报警和应急：实时监测危险源状态，确保监控设备正常运行，准备好应急物资和救援队伍。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降低/转移（橙色）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160&lt;=D&lt;320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1.风险报备：立即报备城区安全管理小组，24小时内报备区域安全管理小组。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2.制度规范：严格按照整改制度操作，明确责任人、时间节点。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3.监控报警和应急：实时监测，确保异常及时响应。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4.培训教育：对相关人员培训，确保熟悉处置流程。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5.风险转移：已购买保险的及时与保险公司沟通理赔事宜。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降低（黄色）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20&lt;=D&lt;160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1.风险报备：24小时内报备城区安全管理小组，一周内报备区域。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2.制度规范：按照常规管控制度操作，确保符合安全标准。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3.培训教育：对相关人员做风险告知和操作培训。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4.监控报警和应急：定期监测，确保正常运行。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接受（蓝色）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D&lt;20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1.上报与监督：每天报备项目安全管理员。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2.个体防护：配备并监督使用个体防护装备。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3.培训教育：项目安全管理员对员工进行风险告知。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应急准备与响应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根据项目风险识别结果，针对重大风险和较大风险制定专项应急预案，确保每项可控风险都有对应的处置流程和责任主体。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4.1 </w:t>
      </w:r>
      <w:r>
        <w:rPr>
          <w:rFonts w:eastAsia="等线" w:ascii="Arial" w:cs="Arial" w:hAnsi="Arial"/>
          <w:b w:val="true"/>
          <w:sz w:val="28"/>
        </w:rPr>
        <w:t>应急预案体系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155"/>
        <w:gridCol w:w="1935"/>
        <w:gridCol w:w="1365"/>
        <w:gridCol w:w="237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风险类别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联动部门（按实际部门分类）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外部单位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对应预案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火灾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秩序/工程/客服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消防/医疗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《火灾突发事件应急预案》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消防通道堵塞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消防中队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《消防通道堵塞应急流程》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特种设备类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医疗机构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《电梯困人突发事件应急预案》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电梯紧急呼叫无响应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特种设备类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电梯维保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《电梯困人突发事件应急预案》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高空坠物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高空坠物类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执法单位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《高空抛物突发事件应急预案》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楼顶设备/花盆坠落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高空坠物类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执法单位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《高空抛物突发事件应急预案》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触电事故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电气类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医院/供电局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《触电事故应急预案》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私拉电线充电起火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电气类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消防/供电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《火灾突发事件应急预案》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自然灾害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防汛类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客服/秩序/保洁/工程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街道/消防/医院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《自然灾害应急预案》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车库积水/排水堵塞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防汛类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工程/秩序/保洁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自来水公司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《自然灾害应急预案》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燃气泄漏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燃气公司/消防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《燃气泄漏应急预案》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大面积停电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工程/秩序/客服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供电局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《大面积停电应急预案》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给排水系统故障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工程/保洁/客服/绿化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自来水公司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《给排水应急预案》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有限空间作业事故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人员操作类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工程/秩序/保洁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消防/医疗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《有限空间作业应急预案》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高空作业事故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人员操作类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工程/秩序/保洁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《高处坠落应急预案》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食物中毒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客服/保洁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疾控/医院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《食物中毒应急预案》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装修违规事故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街道/执法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《装修违规应急预案》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舆情事件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上级公司/品牌部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《舆情突发事件应急预案》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群体投诉/维权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街道/派出所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《群体性事件应急预案》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治安事件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派出所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《治安事件应急预案》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4.2 </w:t>
      </w:r>
      <w:r>
        <w:rPr>
          <w:rFonts w:eastAsia="等线" w:ascii="Arial" w:cs="Arial" w:hAnsi="Arial"/>
          <w:b w:val="true"/>
          <w:sz w:val="28"/>
        </w:rPr>
        <w:t>应急资源与演练计划（资源详见项目应急预案）</w:t>
      </w:r>
      <w:bookmarkEnd w:id="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color w:val="3370ff"/>
          <w:sz w:val="24"/>
        </w:rPr>
        <w:t xml:space="preserve">4.2.1 </w:t>
      </w:r>
      <w:r>
        <w:rPr>
          <w:rFonts w:eastAsia="等线" w:ascii="Arial" w:cs="Arial" w:hAnsi="Arial"/>
          <w:b w:val="true"/>
          <w:sz w:val="24"/>
        </w:rPr>
        <w:t>应急通讯录</w:t>
      </w:r>
      <w:bookmarkEnd w:id="1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color w:val="3370ff"/>
          <w:sz w:val="24"/>
        </w:rPr>
        <w:t xml:space="preserve">4.2.2 </w:t>
      </w:r>
      <w:r>
        <w:rPr>
          <w:rFonts w:eastAsia="等线" w:ascii="Arial" w:cs="Arial" w:hAnsi="Arial"/>
          <w:b w:val="true"/>
          <w:sz w:val="24"/>
        </w:rPr>
        <w:t>演练计划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885"/>
        <w:gridCol w:w="4110"/>
        <w:gridCol w:w="1500"/>
        <w:gridCol w:w="1290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演练事项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计划时间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参与部门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消防应急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疏散逃生演练、灭火器实操、消防栓操作、烟感/喷淋联动测试。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每年6、11月至少1次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项目全体人员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电梯困人救援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测试三方通话，培训安抚话术，维保单位指导下手动盘车操作。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客服/秩序/工程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极端恶劣天气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防涝：安装防汛挡板、启动排水泵、车辆撤离、断电防护。 高空安全：广告牌松动排查、现场警戒、业主告知。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每年4月、9月汛期前至少1次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客服/秩序/环境/工程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治安事件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盗窃事件：报警响应、现场控制。 暴力袭击：紧急响应、现场处置、事后处理。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客服/秩序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燃气泄漏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关闭阀门、疏散人员、禁止明火、联动燃气公司和消防部门。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工程/秩序/客服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触电/有限空间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触电：切断电源、心肺复苏、拨打120。 有限空间：严禁盲目施救、联动消防医疗。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工程/秩序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食物中毒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保留食品样本、隔离现场、上报疾控部门、组织救治。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客服/环境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群体事件/舆情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模拟业主维权聚集：信息上报、现场劝导、秩序维护、舆情监测应对。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客服/秩序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演练后完成对应演练总结记录。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color w:val="3370ff"/>
          <w:sz w:val="24"/>
        </w:rPr>
        <w:t xml:space="preserve">4.2.3 </w:t>
      </w:r>
      <w:r>
        <w:rPr>
          <w:rFonts w:eastAsia="等线" w:ascii="Arial" w:cs="Arial" w:hAnsi="Arial"/>
          <w:b w:val="true"/>
          <w:sz w:val="24"/>
        </w:rPr>
        <w:t>项目应急预案</w:t>
      </w:r>
      <w:bookmarkEnd w:id="12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海印长城一期2026年应急预案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应急指挥与协调机制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5160"/>
        <w:gridCol w:w="183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机制要素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具体内容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责任部门/人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应急指挥架构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项目经理任总指挥，项目安全管理员任副总指挥，各专业主管任执行组长。重大突发事件同时上报区域事业部和集团安全管理委员会。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马英杰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信息报告机制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红色风险1小时内报备集团安全管理委员会；橙色风险24小时内报备区域安全管理小组；黄色风险24小时内报备城区，一周内报备区域；蓝色风险每天报备项目安全管理员。所有报告须记录时间、内容、报送人。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岑翊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应急响应分级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I级（红色）：总指挥现场指挥，启动专项预案，封闭隔离，联动外部救援。 II级（橙色）：副总指挥现场指挥，启动应急预案，加强监测，必要时联动外部资源。 III级（黄/蓝）：对应专业主管现场处置，纳入日常管理流程。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各部门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联动协调机制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内部：客服部（业主沟通）+秩序部（警戒疏散）+工程部（设施抢修）+环境部（环境恢复）部门协同。 外部：根据事件类型联动消防、医疗、公安、燃气、供电、自来水、街道办等。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岑翊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舆情管控机制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突发事件发生后，由客服部门统一对外信息发布口径，严禁员工私自接受媒体采访。项目经理向业主发布官方通报。负面信息2小时内启动舆情监测，必要时联动公司品牌部门。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郭佳琦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事后总结与改进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每次应急事件处置完毕后填写对应内容的突发事件处理记录，分析问题、提出改进措施，更新风险数据库和应急预案；重大事件须专项复盘。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马英杰、岑翊、郭佳琦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ttps://ccpg1987.feishu.cn/wiki/I3xiwwo2HimSJekT9YZc3TCJnDe?from=from_copylink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2026-10-10T02:16:14Z</dcterms:created>
  <dc:creator>Apache POI</dc:creator>
</cp:coreProperties>
</file>