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11 不合格控制与纠正措施</w:t>
      </w:r>
    </w:p>
    <w:p>
      <w:pPr>
        <w:pStyle w:val="1"/>
        <w:spacing w:before="380" w:after="140" w:line="288" w:lineRule="auto"/>
        <w:ind w:left="0"/>
        <w:jc w:val="left"/>
        <w:outlineLvl w:val="0"/>
      </w:pPr>
      <w:bookmarkStart w:name="heading_0" w:id="0"/>
      <w:r>
        <w:rPr>
          <w:rFonts w:eastAsia="等线" w:ascii="Arial" w:cs="Arial" w:hAnsi="Arial"/>
          <w:b w:val="true"/>
          <w:sz w:val="36"/>
        </w:rPr>
        <w:t>11.1 不合格输出的识别与分类</w:t>
      </w:r>
      <w:bookmarkEnd w:id="0"/>
    </w:p>
    <w:p>
      <w:pPr>
        <w:spacing w:before="120" w:after="120" w:line="288" w:lineRule="auto"/>
        <w:ind w:left="0"/>
        <w:jc w:val="left"/>
      </w:pPr>
      <w:r>
        <w:rPr>
          <w:rFonts w:eastAsia="等线" w:ascii="Arial" w:cs="Arial" w:hAnsi="Arial"/>
          <w:sz w:val="22"/>
        </w:rPr>
        <w:t>不合格分类输出的分类见：《</w:t>
      </w:r>
      <w:hyperlink r:id="rId4">
        <w:r>
          <w:rPr>
            <w:rFonts w:eastAsia="等线" w:ascii="Arial" w:cs="Arial" w:hAnsi="Arial"/>
            <w:color w:val="3370ff"/>
            <w:sz w:val="22"/>
          </w:rPr>
          <w:t>0.1-19 不合格识别管理 CCPG/B-0.1-A-019 F/1-审批版</w:t>
        </w:r>
      </w:hyperlink>
      <w:r>
        <w:rPr>
          <w:rFonts w:eastAsia="等线" w:ascii="Arial" w:cs="Arial" w:hAnsi="Arial"/>
          <w:sz w:val="22"/>
        </w:rPr>
        <w:t>》</w:t>
      </w:r>
    </w:p>
    <w:p>
      <w:pPr>
        <w:pStyle w:val="2"/>
        <w:spacing w:before="320" w:after="120" w:line="288" w:lineRule="auto"/>
        <w:ind w:left="0"/>
        <w:jc w:val="left"/>
        <w:outlineLvl w:val="1"/>
      </w:pPr>
      <w:bookmarkStart w:name="heading_1" w:id="1"/>
      <w:r>
        <w:rPr>
          <w:rFonts w:eastAsia="等线" w:ascii="Arial" w:cs="Arial" w:hAnsi="Arial"/>
          <w:b w:val="true"/>
          <w:sz w:val="32"/>
        </w:rPr>
        <w:t>项目自检责任分工表</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160"/>
        <w:gridCol w:w="1860"/>
        <w:gridCol w:w="885"/>
        <w:gridCol w:w="238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检查人</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主要检查对象</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主要检查范围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检查频次</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发现问题后怎么处理</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综合事务主管、财务对接人等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人事、行政、财经、体系遵从稽查运行机制相关事项及岗位人员</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对相关业务实际执行人开具不合格整改单或要求即时整改，并验证关闭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驿站管理员、社群管理员、仓库管理员、配送员等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增量业务相关工作事项及岗位人员</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对相关业务实际执行人开具不合格整改单或要求即时整改，并验证关闭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管理处运营交付相关岗位和服务人员</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运营交付涉及工作事项、岗位服务人员、现场服务过程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对相关负责人和业务实际执行人开具不合格整改单或要求即时整改，并验证关闭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客服关系经理</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网格管家、礼宾司、礼宾员等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客户服务涉及工作事项及岗位服务人员</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对客户关系相关业务实际执行人开具不合格整改单，并验证关闭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专业组负责人</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本专业相关员工、服务供方或操作类员工</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本专业组全部岗位、工作事项、服务过程和服务结果</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日检周覆盖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对现场服务供方负责人和业务实际执行人开具不合格单或要求即时整改，并验证关闭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客服管家</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本网格相关员工、服务供方或操作类员工</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本网格内全部区域及工作事项</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日检周覆盖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监督对应操作人员即时整改，并将评价结果反馈给各专业主管</w:t>
            </w:r>
          </w:p>
        </w:tc>
      </w:tr>
    </w:tbl>
    <w:p>
      <w:pPr>
        <w:pStyle w:val="2"/>
        <w:spacing w:before="320" w:after="120" w:line="288" w:lineRule="auto"/>
        <w:ind w:left="0"/>
        <w:jc w:val="left"/>
        <w:outlineLvl w:val="1"/>
      </w:pPr>
      <w:bookmarkStart w:name="heading_2" w:id="2"/>
      <w:r>
        <w:rPr>
          <w:rFonts w:eastAsia="等线" w:ascii="Arial" w:cs="Arial" w:hAnsi="Arial"/>
          <w:b w:val="true"/>
          <w:sz w:val="32"/>
        </w:rPr>
        <w:t>日检、周检、月检计划</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510"/>
        <w:gridCol w:w="510"/>
        <w:gridCol w:w="1620"/>
        <w:gridCol w:w="960"/>
        <w:gridCol w:w="2265"/>
        <w:gridCol w:w="1125"/>
      </w:tblGrid>
      <w:tr>
        <w:tc>
          <w:tcPr>
            <w:tcW w:w="127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检查人</w:t>
            </w:r>
          </w:p>
          <w:p>
            <w:pPr>
              <w:spacing w:before="120" w:after="120" w:line="288" w:lineRule="auto"/>
              <w:ind w:left="0"/>
              <w:jc w:val="center"/>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日期</w:t>
            </w:r>
          </w:p>
        </w:tc>
        <w:tc>
          <w:tcPr>
            <w:tcW w:w="51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预期时间</w:t>
            </w:r>
          </w:p>
          <w:p>
            <w:pPr>
              <w:spacing w:before="120" w:after="120" w:line="288" w:lineRule="auto"/>
              <w:ind w:left="0"/>
              <w:jc w:val="center"/>
            </w:pPr>
            <w:r>
              <w:rPr>
                <w:rFonts w:eastAsia="等线" w:ascii="Arial" w:cs="Arial" w:hAnsi="Arial"/>
                <w:sz w:val="22"/>
              </w:rPr>
              <w:t xml:space="preserve"> </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被检查团队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自检活动地点</w:t>
            </w: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职责</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自检范围</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月检</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每月17日前（运营会议期间）</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r>
              <w:rPr>
                <w:rFonts w:eastAsia="等线" w:ascii="Arial" w:cs="Arial" w:hAnsi="Arial"/>
                <w:color w:val="3370ff"/>
                <w:sz w:val="22"/>
              </w:rPr>
              <w:t>@岑翊</w:t>
            </w:r>
          </w:p>
          <w:p>
            <w:pPr>
              <w:spacing w:before="120" w:after="120" w:line="288" w:lineRule="auto"/>
              <w:ind w:left="0"/>
              <w:jc w:val="left"/>
            </w:pPr>
            <w:r>
              <w:rPr>
                <w:rFonts w:eastAsia="等线" w:ascii="Arial" w:cs="Arial" w:hAnsi="Arial"/>
                <w:sz w:val="22"/>
              </w:rPr>
              <w:t>客服关系经理</w:t>
            </w:r>
            <w:r>
              <w:rPr>
                <w:rFonts w:eastAsia="等线" w:ascii="Arial" w:cs="Arial" w:hAnsi="Arial"/>
                <w:color w:val="3370ff"/>
                <w:sz w:val="22"/>
              </w:rPr>
              <w:t>@郭佳琦</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2栋架空层会议室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1、管理处负责人是管理处体系稽查的总负责人，负责组织体系稽查工作。</w:t>
            </w:r>
          </w:p>
          <w:p>
            <w:pPr>
              <w:spacing w:before="120" w:after="120" w:line="288" w:lineRule="auto"/>
              <w:ind w:left="0"/>
              <w:jc w:val="left"/>
            </w:pPr>
            <w:r>
              <w:rPr>
                <w:rFonts w:eastAsia="等线" w:ascii="Arial" w:cs="Arial" w:hAnsi="Arial"/>
                <w:sz w:val="22"/>
              </w:rPr>
              <w:t>2、负责对管理处人事、行政、财经工作相关事项进行体系遵从自检；</w:t>
            </w:r>
          </w:p>
          <w:p>
            <w:pPr>
              <w:spacing w:before="120" w:after="120" w:line="288" w:lineRule="auto"/>
              <w:ind w:left="0"/>
              <w:jc w:val="left"/>
            </w:pPr>
            <w:r>
              <w:rPr>
                <w:rFonts w:eastAsia="等线" w:ascii="Arial" w:cs="Arial" w:hAnsi="Arial"/>
                <w:sz w:val="22"/>
              </w:rPr>
              <w:t>3、负责对管理处人事、行政、财经工作相关不合格事项相关人员开具不合格整改单或要求即时整改；</w:t>
            </w:r>
          </w:p>
          <w:p>
            <w:pPr>
              <w:spacing w:before="120" w:after="120" w:line="288" w:lineRule="auto"/>
              <w:ind w:left="0"/>
              <w:jc w:val="left"/>
            </w:pPr>
            <w:r>
              <w:rPr>
                <w:rFonts w:eastAsia="等线" w:ascii="Arial" w:cs="Arial" w:hAnsi="Arial"/>
                <w:sz w:val="22"/>
              </w:rPr>
              <w:t>4、负责对管理处人事、行政、财经工作相关的不合格事项的整改情况进行验证及关闭。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r>
              <w:rPr>
                <w:rFonts w:eastAsia="等线" w:ascii="Arial" w:cs="Arial" w:hAnsi="Arial"/>
                <w:b w:val="true"/>
                <w:sz w:val="22"/>
              </w:rPr>
              <w:t>人事、行政、财经、</w:t>
            </w:r>
            <w:r>
              <w:rPr>
                <w:rFonts w:eastAsia="等线" w:ascii="Arial" w:cs="Arial" w:hAnsi="Arial"/>
                <w:sz w:val="22"/>
              </w:rPr>
              <w:t>工作事项及其全部岗位人员；不落一个人不落一个工作位置不落一件工作事项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月检</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每月17日前（运营会议期间）</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r>
              <w:rPr>
                <w:rFonts w:eastAsia="等线" w:ascii="Arial" w:cs="Arial" w:hAnsi="Arial"/>
                <w:color w:val="3370ff"/>
                <w:sz w:val="22"/>
              </w:rPr>
              <w:t>@岑翊</w:t>
            </w:r>
          </w:p>
          <w:p>
            <w:pPr>
              <w:spacing w:before="120" w:after="120" w:line="288" w:lineRule="auto"/>
              <w:ind w:left="0"/>
              <w:jc w:val="left"/>
            </w:pPr>
            <w:r>
              <w:rPr>
                <w:rFonts w:eastAsia="等线" w:ascii="Arial" w:cs="Arial" w:hAnsi="Arial"/>
                <w:sz w:val="22"/>
              </w:rPr>
              <w:t>客服关系经理</w:t>
            </w:r>
            <w:r>
              <w:rPr>
                <w:rFonts w:eastAsia="等线" w:ascii="Arial" w:cs="Arial" w:hAnsi="Arial"/>
                <w:color w:val="3370ff"/>
                <w:sz w:val="22"/>
              </w:rPr>
              <w:t>@郭佳琦</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2栋架空层会议室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1、负责对管理处一应驿站、增量业务相关工作事项进行体系遵从自检；</w:t>
            </w:r>
          </w:p>
          <w:p>
            <w:pPr>
              <w:spacing w:before="120" w:after="120" w:line="288" w:lineRule="auto"/>
              <w:ind w:left="0"/>
              <w:jc w:val="left"/>
            </w:pPr>
            <w:r>
              <w:rPr>
                <w:rFonts w:eastAsia="等线" w:ascii="Arial" w:cs="Arial" w:hAnsi="Arial"/>
                <w:sz w:val="22"/>
              </w:rPr>
              <w:t>2、负责对管理处一应驿站、增量业务工作相关不合格事项相关人员开具不合格整改单或要求即时整改；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3、负责对管理处一应驿站、增量业务相关工作相关不合格事项的整改情况进行验证及关闭。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r>
              <w:rPr>
                <w:rFonts w:eastAsia="等线" w:ascii="Arial" w:cs="Arial" w:hAnsi="Arial"/>
                <w:b w:val="true"/>
                <w:sz w:val="22"/>
              </w:rPr>
              <w:t>一应驿站</w:t>
            </w:r>
            <w:r>
              <w:rPr>
                <w:rFonts w:eastAsia="等线" w:ascii="Arial" w:cs="Arial" w:hAnsi="Arial"/>
                <w:sz w:val="22"/>
              </w:rPr>
              <w:t>、</w:t>
            </w:r>
            <w:r>
              <w:rPr>
                <w:rFonts w:eastAsia="等线" w:ascii="Arial" w:cs="Arial" w:hAnsi="Arial"/>
                <w:b w:val="true"/>
                <w:sz w:val="22"/>
              </w:rPr>
              <w:t>增量业务</w:t>
            </w:r>
            <w:r>
              <w:rPr>
                <w:rFonts w:eastAsia="等线" w:ascii="Arial" w:cs="Arial" w:hAnsi="Arial"/>
                <w:sz w:val="22"/>
              </w:rPr>
              <w:t>相关工作事项及其全部岗位人员；不落一个人不落一个工作位置不落一件工作事项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r>
              <w:rPr>
                <w:rFonts w:eastAsia="等线" w:ascii="Arial" w:cs="Arial" w:hAnsi="Arial"/>
                <w:color w:val="3370ff"/>
                <w:sz w:val="22"/>
              </w:rPr>
              <w:t>@岑翊</w:t>
            </w:r>
          </w:p>
          <w:p>
            <w:pPr>
              <w:spacing w:before="120" w:after="120" w:line="288" w:lineRule="auto"/>
              <w:ind w:left="0"/>
              <w:jc w:val="left"/>
            </w:pPr>
            <w:r>
              <w:rPr>
                <w:rFonts w:eastAsia="等线" w:ascii="Arial" w:cs="Arial" w:hAnsi="Arial"/>
                <w:sz w:val="22"/>
              </w:rPr>
              <w:t>客服关系经理</w:t>
            </w:r>
            <w:r>
              <w:rPr>
                <w:rFonts w:eastAsia="等线" w:ascii="Arial" w:cs="Arial" w:hAnsi="Arial"/>
                <w:color w:val="3370ff"/>
                <w:sz w:val="22"/>
              </w:rPr>
              <w:t>@郭佳琦</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2栋架空层会议室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1、负责对管理处财经、运营交付、体系遵从稽查、风险管理、</w:t>
            </w:r>
            <w:r>
              <w:rPr>
                <w:rFonts w:eastAsia="等线" w:ascii="Arial" w:cs="Arial" w:hAnsi="Arial"/>
                <w:b w:val="true"/>
                <w:sz w:val="22"/>
              </w:rPr>
              <w:t>增量业务</w:t>
            </w:r>
            <w:r>
              <w:rPr>
                <w:rFonts w:eastAsia="等线" w:ascii="Arial" w:cs="Arial" w:hAnsi="Arial"/>
                <w:sz w:val="22"/>
              </w:rPr>
              <w:t>相关工作事项进行体系遵从自检；</w:t>
            </w:r>
          </w:p>
          <w:p>
            <w:pPr>
              <w:spacing w:before="120" w:after="120" w:line="288" w:lineRule="auto"/>
              <w:ind w:left="0"/>
              <w:jc w:val="left"/>
            </w:pPr>
            <w:r>
              <w:rPr>
                <w:rFonts w:eastAsia="等线" w:ascii="Arial" w:cs="Arial" w:hAnsi="Arial"/>
                <w:sz w:val="22"/>
              </w:rPr>
              <w:t>2、负责对管理处财经、</w:t>
            </w:r>
            <w:r>
              <w:rPr>
                <w:rFonts w:eastAsia="等线" w:ascii="Arial" w:cs="Arial" w:hAnsi="Arial"/>
                <w:b w:val="true"/>
                <w:sz w:val="22"/>
              </w:rPr>
              <w:t>增量业务</w:t>
            </w:r>
            <w:r>
              <w:rPr>
                <w:rFonts w:eastAsia="等线" w:ascii="Arial" w:cs="Arial" w:hAnsi="Arial"/>
                <w:sz w:val="22"/>
              </w:rPr>
              <w:t>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3、负责对管理处财经、</w:t>
            </w:r>
            <w:r>
              <w:rPr>
                <w:rFonts w:eastAsia="等线" w:ascii="Arial" w:cs="Arial" w:hAnsi="Arial"/>
                <w:b w:val="true"/>
                <w:sz w:val="22"/>
              </w:rPr>
              <w:t>增量业务</w:t>
            </w:r>
            <w:r>
              <w:rPr>
                <w:rFonts w:eastAsia="等线" w:ascii="Arial" w:cs="Arial" w:hAnsi="Arial"/>
                <w:sz w:val="22"/>
              </w:rPr>
              <w:t>相关工作相关不合格事项的整改情况进行验证及关闭。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抽查财经、运营交付、风险管理、增量业务</w:t>
            </w:r>
            <w:r>
              <w:rPr>
                <w:rFonts w:eastAsia="等线" w:ascii="Arial" w:cs="Arial" w:hAnsi="Arial"/>
                <w:sz w:val="22"/>
              </w:rPr>
              <w:t>相关工作事项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p>
            <w:pPr>
              <w:spacing w:before="120" w:after="120" w:line="288" w:lineRule="auto"/>
              <w:ind w:left="0"/>
              <w:jc w:val="center"/>
            </w:pPr>
            <w:r>
              <w:rPr>
                <w:rFonts w:eastAsia="等线" w:ascii="Arial" w:cs="Arial" w:hAnsi="Arial"/>
                <w:sz w:val="22"/>
              </w:rPr>
              <w:t xml:space="preserve"> </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3栋物业办公室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w:t>
            </w:r>
            <w:r>
              <w:rPr>
                <w:rFonts w:eastAsia="等线" w:ascii="Arial" w:cs="Arial" w:hAnsi="Arial"/>
                <w:b w:val="true"/>
                <w:sz w:val="22"/>
              </w:rPr>
              <w:t>运营交付、一应驿站、风险管理增量业务</w:t>
            </w:r>
            <w:r>
              <w:rPr>
                <w:rFonts w:eastAsia="等线" w:ascii="Arial" w:cs="Arial" w:hAnsi="Arial"/>
                <w:sz w:val="22"/>
              </w:rPr>
              <w:t>相关工作事项进行体系遵从自检；</w:t>
            </w:r>
          </w:p>
          <w:p>
            <w:pPr>
              <w:spacing w:before="120" w:after="120" w:line="288" w:lineRule="auto"/>
              <w:ind w:left="0"/>
              <w:jc w:val="left"/>
            </w:pPr>
            <w:r>
              <w:rPr>
                <w:rFonts w:eastAsia="等线" w:ascii="Arial" w:cs="Arial" w:hAnsi="Arial"/>
                <w:sz w:val="22"/>
              </w:rPr>
              <w:t>2、负责对管理处</w:t>
            </w:r>
            <w:r>
              <w:rPr>
                <w:rFonts w:eastAsia="等线" w:ascii="Arial" w:cs="Arial" w:hAnsi="Arial"/>
                <w:b w:val="true"/>
                <w:sz w:val="22"/>
              </w:rPr>
              <w:t>运营交付、一应驿站、风险管理、增量业务</w:t>
            </w:r>
            <w:r>
              <w:rPr>
                <w:rFonts w:eastAsia="等线" w:ascii="Arial" w:cs="Arial" w:hAnsi="Arial"/>
                <w:sz w:val="22"/>
              </w:rPr>
              <w:t>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w:t>
            </w:r>
            <w:r>
              <w:rPr>
                <w:rFonts w:eastAsia="等线" w:ascii="Arial" w:cs="Arial" w:hAnsi="Arial"/>
                <w:b w:val="true"/>
                <w:sz w:val="22"/>
              </w:rPr>
              <w:t>运营交付、一应驿站、风险管理、增量业务</w:t>
            </w:r>
            <w:r>
              <w:rPr>
                <w:rFonts w:eastAsia="等线" w:ascii="Arial" w:cs="Arial" w:hAnsi="Arial"/>
                <w:sz w:val="22"/>
              </w:rPr>
              <w:t>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抽查一应驿站、运营交付、风险管理、增量业务</w:t>
            </w:r>
            <w:r>
              <w:rPr>
                <w:rFonts w:eastAsia="等线" w:ascii="Arial" w:cs="Arial" w:hAnsi="Arial"/>
                <w:sz w:val="22"/>
              </w:rPr>
              <w:t>涉及工作事项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3栋物业办公室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w:t>
            </w:r>
            <w:r>
              <w:rPr>
                <w:rFonts w:eastAsia="等线" w:ascii="Arial" w:cs="Arial" w:hAnsi="Arial"/>
                <w:b w:val="true"/>
                <w:sz w:val="22"/>
              </w:rPr>
              <w:t>运营交付、增量业务</w:t>
            </w:r>
            <w:r>
              <w:rPr>
                <w:rFonts w:eastAsia="等线" w:ascii="Arial" w:cs="Arial" w:hAnsi="Arial"/>
                <w:sz w:val="22"/>
              </w:rPr>
              <w:t>相关工作事项进行体系遵从自检；</w:t>
            </w:r>
          </w:p>
          <w:p>
            <w:pPr>
              <w:spacing w:before="120" w:after="120" w:line="288" w:lineRule="auto"/>
              <w:ind w:left="0"/>
              <w:jc w:val="left"/>
            </w:pPr>
            <w:r>
              <w:rPr>
                <w:rFonts w:eastAsia="等线" w:ascii="Arial" w:cs="Arial" w:hAnsi="Arial"/>
                <w:sz w:val="22"/>
              </w:rPr>
              <w:t>2、负责对管理处</w:t>
            </w:r>
            <w:r>
              <w:rPr>
                <w:rFonts w:eastAsia="等线" w:ascii="Arial" w:cs="Arial" w:hAnsi="Arial"/>
                <w:b w:val="true"/>
                <w:sz w:val="22"/>
              </w:rPr>
              <w:t>运营交付、增量业务</w:t>
            </w:r>
            <w:r>
              <w:rPr>
                <w:rFonts w:eastAsia="等线" w:ascii="Arial" w:cs="Arial" w:hAnsi="Arial"/>
                <w:sz w:val="22"/>
              </w:rPr>
              <w:t>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w:t>
            </w:r>
            <w:r>
              <w:rPr>
                <w:rFonts w:eastAsia="等线" w:ascii="Arial" w:cs="Arial" w:hAnsi="Arial"/>
                <w:b w:val="true"/>
                <w:sz w:val="22"/>
              </w:rPr>
              <w:t>运营交付、增量业务</w:t>
            </w:r>
            <w:r>
              <w:rPr>
                <w:rFonts w:eastAsia="等线" w:ascii="Arial" w:cs="Arial" w:hAnsi="Arial"/>
                <w:sz w:val="22"/>
              </w:rPr>
              <w:t>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抽查运营交付、体系遵从稽查、、风险管理、增量业务</w:t>
            </w:r>
            <w:r>
              <w:rPr>
                <w:rFonts w:eastAsia="等线" w:ascii="Arial" w:cs="Arial" w:hAnsi="Arial"/>
                <w:sz w:val="22"/>
              </w:rPr>
              <w:t>涉及工作事项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3栋客服中心</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抽查管家</w:t>
            </w:r>
            <w:r>
              <w:rPr>
                <w:rFonts w:eastAsia="等线" w:ascii="Arial" w:cs="Arial" w:hAnsi="Arial"/>
                <w:b w:val="true"/>
                <w:sz w:val="22"/>
              </w:rPr>
              <w:t>客户拜访、费用收缴</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3栋客服中心</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抽查管家</w:t>
            </w:r>
            <w:r>
              <w:rPr>
                <w:rFonts w:eastAsia="等线" w:ascii="Arial" w:cs="Arial" w:hAnsi="Arial"/>
                <w:b w:val="true"/>
                <w:sz w:val="22"/>
              </w:rPr>
              <w:t>舆情控制</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管理处办公室及公区楼栋</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抽查管家</w:t>
            </w:r>
            <w:r>
              <w:rPr>
                <w:rFonts w:eastAsia="等线" w:ascii="Arial" w:cs="Arial" w:hAnsi="Arial"/>
                <w:b w:val="true"/>
                <w:sz w:val="22"/>
              </w:rPr>
              <w:t>投诉处理</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3栋客服中心</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w:t>
            </w:r>
            <w:r>
              <w:rPr>
                <w:rFonts w:eastAsia="等线" w:ascii="Arial" w:cs="Arial" w:hAnsi="Arial"/>
                <w:b w:val="true"/>
                <w:sz w:val="22"/>
              </w:rPr>
              <w:t>管家楼栋巡查、现场服务质量</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1-8栋公区楼栋</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1、负责对管理处四保一服专业的工作进行体系遵从自检；</w:t>
            </w:r>
          </w:p>
          <w:p>
            <w:pPr>
              <w:spacing w:before="120" w:after="120" w:line="288" w:lineRule="auto"/>
              <w:ind w:left="0"/>
              <w:jc w:val="left"/>
            </w:pPr>
            <w:r>
              <w:rPr>
                <w:rFonts w:eastAsia="等线" w:ascii="Arial" w:cs="Arial" w:hAnsi="Arial"/>
                <w:sz w:val="22"/>
              </w:rPr>
              <w:t>2、负责对管理处四保一服不合格事项相关人员服务供方开具不合格单或要求即时整改；</w:t>
            </w:r>
          </w:p>
          <w:p>
            <w:pPr>
              <w:spacing w:before="120" w:after="120" w:line="288" w:lineRule="auto"/>
              <w:ind w:left="0"/>
              <w:jc w:val="left"/>
            </w:pPr>
            <w:r>
              <w:rPr>
                <w:rFonts w:eastAsia="等线" w:ascii="Arial" w:cs="Arial" w:hAnsi="Arial"/>
                <w:sz w:val="22"/>
              </w:rPr>
              <w:t>3、负责对管理处四保一服相关人员不合格事项的整改情况进行验证及关闭。</w:t>
            </w:r>
          </w:p>
          <w:p>
            <w:pPr>
              <w:spacing w:before="120" w:after="120" w:line="288" w:lineRule="auto"/>
              <w:ind w:left="0"/>
              <w:jc w:val="left"/>
            </w:pPr>
            <w:r>
              <w:rPr>
                <w:rFonts w:eastAsia="等线" w:ascii="Arial" w:cs="Arial" w:hAnsi="Arial"/>
                <w:sz w:val="22"/>
              </w:rPr>
              <w:t>4、负责对责任范围内的不合格事项进行整改。</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r>
              <w:rPr>
                <w:rFonts w:eastAsia="等线" w:ascii="Arial" w:cs="Arial" w:hAnsi="Arial"/>
                <w:sz w:val="22"/>
              </w:rPr>
              <w:t>抽查</w:t>
            </w:r>
            <w:r>
              <w:rPr>
                <w:rFonts w:eastAsia="等线" w:ascii="Arial" w:cs="Arial" w:hAnsi="Arial"/>
                <w:b w:val="true"/>
                <w:sz w:val="22"/>
              </w:rPr>
              <w:t>三保组</w:t>
            </w:r>
            <w:r>
              <w:rPr>
                <w:rFonts w:eastAsia="等线" w:ascii="Arial" w:cs="Arial" w:hAnsi="Arial"/>
                <w:sz w:val="22"/>
              </w:rPr>
              <w:t>部分岗位及其工作事项</w:t>
            </w:r>
          </w:p>
          <w:p>
            <w:pPr>
              <w:spacing w:before="120" w:after="120" w:line="288" w:lineRule="auto"/>
              <w:ind w:left="0"/>
              <w:jc w:val="left"/>
            </w:pPr>
            <w:r>
              <w:rPr>
                <w:rFonts w:eastAsia="等线" w:ascii="Arial" w:cs="Arial" w:hAnsi="Arial"/>
                <w:sz w:val="22"/>
              </w:rPr>
              <w:t>2、抽查部分</w:t>
            </w:r>
            <w:r>
              <w:rPr>
                <w:rFonts w:eastAsia="等线" w:ascii="Arial" w:cs="Arial" w:hAnsi="Arial"/>
                <w:b w:val="true"/>
                <w:sz w:val="22"/>
              </w:rPr>
              <w:t>网格管家楼栋及公区现场服务质量</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1-8栋公区楼栋</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1、负责对管理处本专业的工作进行体系遵从自检；</w:t>
            </w:r>
          </w:p>
          <w:p>
            <w:pPr>
              <w:spacing w:before="120" w:after="120" w:line="288" w:lineRule="auto"/>
              <w:ind w:left="0"/>
              <w:jc w:val="left"/>
            </w:pPr>
            <w:r>
              <w:rPr>
                <w:rFonts w:eastAsia="等线" w:ascii="Arial" w:cs="Arial" w:hAnsi="Arial"/>
                <w:sz w:val="22"/>
              </w:rPr>
              <w:t>2、负责对管理处本专业不合格事项相关人员服务供方开具不合格单或要求即时整改；</w:t>
            </w:r>
          </w:p>
          <w:p>
            <w:pPr>
              <w:spacing w:before="120" w:after="120" w:line="288" w:lineRule="auto"/>
              <w:ind w:left="0"/>
              <w:jc w:val="left"/>
            </w:pPr>
            <w:r>
              <w:rPr>
                <w:rFonts w:eastAsia="等线" w:ascii="Arial" w:cs="Arial" w:hAnsi="Arial"/>
                <w:sz w:val="22"/>
              </w:rPr>
              <w:t>3、负责对管理处本专业相关人员不合格事项的整改情况进行验证及关闭。</w:t>
            </w:r>
          </w:p>
          <w:p>
            <w:pPr>
              <w:spacing w:before="120" w:after="120" w:line="288" w:lineRule="auto"/>
              <w:ind w:left="0"/>
              <w:jc w:val="left"/>
            </w:pPr>
            <w:r>
              <w:rPr>
                <w:rFonts w:eastAsia="等线" w:ascii="Arial" w:cs="Arial" w:hAnsi="Arial"/>
                <w:sz w:val="22"/>
              </w:rPr>
              <w:t>4、负责对责任范围内的不合格事项进行整改。</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w:t>
            </w:r>
            <w:r>
              <w:rPr>
                <w:rFonts w:eastAsia="等线" w:ascii="Arial" w:cs="Arial" w:hAnsi="Arial"/>
                <w:b w:val="true"/>
                <w:sz w:val="22"/>
              </w:rPr>
              <w:t>本专业组</w:t>
            </w:r>
            <w:r>
              <w:rPr>
                <w:rFonts w:eastAsia="等线" w:ascii="Arial" w:cs="Arial" w:hAnsi="Arial"/>
                <w:sz w:val="22"/>
              </w:rPr>
              <w:t>部分岗位及其工作事项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br/>
            </w:r>
            <w:r>
              <w:rPr>
                <w:rFonts w:eastAsia="等线" w:ascii="Arial" w:cs="Arial" w:hAnsi="Arial"/>
                <w:color w:val="3370ff"/>
                <w:sz w:val="22"/>
              </w:rPr>
              <w:t>@李裕文</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w:t>
              <w:br/>
            </w:r>
          </w:p>
        </w:tc>
        <w:tc>
          <w:tcPr>
            <w:tcW w:w="22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1、负责对本网格范围内各专业组日常工作进行体系遵从自检；</w:t>
            </w:r>
          </w:p>
          <w:p>
            <w:pPr>
              <w:spacing w:before="120" w:after="120" w:line="288" w:lineRule="auto"/>
              <w:ind w:left="0"/>
              <w:jc w:val="left"/>
            </w:pPr>
            <w:r>
              <w:rPr>
                <w:rFonts w:eastAsia="等线" w:ascii="Arial" w:cs="Arial" w:hAnsi="Arial"/>
                <w:sz w:val="22"/>
              </w:rPr>
              <w:t>2、负责对本网格范围内各专业组不合格事项要求即时整改并反馈给各专业主管；</w:t>
            </w:r>
          </w:p>
          <w:p>
            <w:pPr>
              <w:spacing w:before="120" w:after="120" w:line="288" w:lineRule="auto"/>
              <w:ind w:left="0"/>
              <w:jc w:val="left"/>
            </w:pPr>
            <w:r>
              <w:rPr>
                <w:rFonts w:eastAsia="等线" w:ascii="Arial" w:cs="Arial" w:hAnsi="Arial"/>
                <w:sz w:val="22"/>
              </w:rPr>
              <w:t>3、负责对本网格范围内各专业组不合格事项的整改情况进行验证及关闭；</w:t>
            </w:r>
          </w:p>
          <w:p>
            <w:pPr>
              <w:spacing w:before="120" w:after="120" w:line="288" w:lineRule="auto"/>
              <w:ind w:left="0"/>
              <w:jc w:val="left"/>
            </w:pPr>
            <w:r>
              <w:rPr>
                <w:rFonts w:eastAsia="等线" w:ascii="Arial" w:cs="Arial" w:hAnsi="Arial"/>
                <w:sz w:val="22"/>
              </w:rPr>
              <w:t>4、负责对责任范围内的不合格事项进行整改。</w:t>
            </w:r>
          </w:p>
          <w:p>
            <w:pPr>
              <w:spacing w:before="120" w:after="120" w:line="288" w:lineRule="auto"/>
              <w:ind w:left="0"/>
              <w:jc w:val="left"/>
            </w:pPr>
          </w:p>
        </w:tc>
        <w:tc>
          <w:tcPr>
            <w:tcW w:w="11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w:t>
            </w:r>
            <w:r>
              <w:rPr>
                <w:rFonts w:eastAsia="等线" w:ascii="Arial" w:cs="Arial" w:hAnsi="Arial"/>
                <w:b w:val="true"/>
                <w:sz w:val="22"/>
              </w:rPr>
              <w:t>网格内全部区域</w:t>
            </w:r>
            <w:r>
              <w:rPr>
                <w:rFonts w:eastAsia="等线" w:ascii="Arial" w:cs="Arial" w:hAnsi="Arial"/>
                <w:sz w:val="22"/>
              </w:rPr>
              <w:t>及其工作事项，不落一个工作位置不落一件工作事项</w:t>
            </w:r>
          </w:p>
          <w:p>
            <w:pPr>
              <w:spacing w:before="120" w:after="120" w:line="288" w:lineRule="auto"/>
              <w:ind w:left="0"/>
              <w:jc w:val="left"/>
            </w:pPr>
            <w:r>
              <w:rPr>
                <w:rFonts w:eastAsia="等线" w:ascii="Arial" w:cs="Arial" w:hAnsi="Arial"/>
                <w:sz w:val="22"/>
              </w:rPr>
              <w:t xml:space="preserve"> </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3、4、7、8栋网格负责人</w:t>
              <w:br/>
            </w:r>
            <w:r>
              <w:rPr>
                <w:rFonts w:eastAsia="等线" w:ascii="Arial" w:cs="Arial" w:hAnsi="Arial"/>
                <w:color w:val="3370ff"/>
                <w:sz w:val="22"/>
              </w:rPr>
              <w:t>@郭佳琦</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3、4、7、8栋网格</w:t>
            </w:r>
          </w:p>
          <w:p>
            <w:pPr>
              <w:spacing w:before="120" w:after="120" w:line="288" w:lineRule="auto"/>
              <w:ind w:left="0"/>
              <w:jc w:val="left"/>
            </w:pPr>
          </w:p>
        </w:tc>
        <w:tc>
          <w:tcPr>
            <w:tcW w:w="2265" w:type="dxa"/>
            <w:vMerge w:val="continue"/>
            <w:tcMar>
              <w:top w:type="dxa" w:w="60"/>
              <w:left w:type="dxa" w:w="120"/>
              <w:bottom w:type="dxa" w:w="30"/>
              <w:right w:type="dxa" w:w="120"/>
            </w:tcMar>
          </w:tcPr>
          <w:p>
            <w:pPr>
              <w:spacing w:before="120" w:after="120" w:line="288" w:lineRule="auto"/>
              <w:ind w:left="0"/>
              <w:jc w:val="left"/>
            </w:pPr>
          </w:p>
        </w:tc>
        <w:tc>
          <w:tcPr>
            <w:tcW w:w="1125" w:type="dxa"/>
            <w:vMerge w:val="continue"/>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商铺网格负责人</w:t>
              <w:br/>
            </w:r>
            <w:r>
              <w:rPr>
                <w:rFonts w:eastAsia="等线" w:ascii="Arial" w:cs="Arial" w:hAnsi="Arial"/>
                <w:color w:val="3370ff"/>
                <w:sz w:val="22"/>
              </w:rPr>
              <w:t>@李英</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商铺网格</w:t>
            </w:r>
          </w:p>
          <w:p>
            <w:pPr>
              <w:spacing w:before="120" w:after="120" w:line="288" w:lineRule="auto"/>
              <w:ind w:left="0"/>
              <w:jc w:val="left"/>
            </w:pPr>
          </w:p>
        </w:tc>
        <w:tc>
          <w:tcPr>
            <w:tcW w:w="2265" w:type="dxa"/>
            <w:vMerge w:val="continue"/>
            <w:tcMar>
              <w:top w:type="dxa" w:w="60"/>
              <w:left w:type="dxa" w:w="120"/>
              <w:bottom w:type="dxa" w:w="30"/>
              <w:right w:type="dxa" w:w="120"/>
            </w:tcMar>
          </w:tcPr>
          <w:p>
            <w:pPr>
              <w:spacing w:before="120" w:after="120" w:line="288" w:lineRule="auto"/>
              <w:ind w:left="0"/>
              <w:jc w:val="left"/>
            </w:pPr>
          </w:p>
        </w:tc>
        <w:tc>
          <w:tcPr>
            <w:tcW w:w="1125" w:type="dxa"/>
            <w:vMerge w:val="continue"/>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3" w:id="3"/>
      <w:r>
        <w:rPr>
          <w:rFonts w:eastAsia="等线" w:ascii="Arial" w:cs="Arial" w:hAnsi="Arial"/>
          <w:b w:val="true"/>
          <w:sz w:val="36"/>
        </w:rPr>
        <w:t>11.2 不合格处置流程</w:t>
      </w:r>
      <w:bookmarkEnd w:id="3"/>
    </w:p>
    <w:p>
      <w:pPr>
        <w:spacing w:before="120" w:after="120" w:line="288" w:lineRule="auto"/>
        <w:ind w:left="0"/>
        <w:jc w:val="left"/>
      </w:pPr>
      <w:hyperlink r:id="rId5">
        <w:r>
          <w:rPr>
            <w:rFonts w:eastAsia="等线" w:ascii="Arial" w:cs="Arial" w:hAnsi="Arial"/>
            <w:color w:val="3370ff"/>
            <w:sz w:val="22"/>
          </w:rPr>
          <w:t>0.1-15 制定体系遵从稽查计划流程 CCPG╱B-0.1-A-015 F0.pdf</w:t>
        </w:r>
      </w:hyperlink>
      <w:r>
        <w:rPr>
          <w:rFonts w:eastAsia="等线" w:ascii="Arial" w:cs="Arial" w:hAnsi="Arial"/>
          <w:sz w:val="22"/>
        </w:rPr>
        <w:br/>
      </w:r>
      <w:hyperlink r:id="rId6">
        <w:r>
          <w:rPr>
            <w:rFonts w:eastAsia="等线" w:ascii="Arial" w:cs="Arial" w:hAnsi="Arial"/>
            <w:color w:val="3370ff"/>
            <w:sz w:val="22"/>
          </w:rPr>
          <w:t>0.1-18 不合格控制流程 CCPG╱B-0.1-A-018 F1.pdf</w:t>
        </w:r>
      </w:hyperlink>
    </w:p>
    <w:p>
      <w:pPr>
        <w:spacing w:before="120" w:after="120" w:line="288" w:lineRule="auto"/>
        <w:ind w:left="0"/>
        <w:jc w:val="left"/>
      </w:pPr>
      <w:r>
        <w:rPr>
          <w:rFonts w:eastAsia="等线" w:ascii="Arial" w:cs="Arial" w:hAnsi="Arial"/>
          <w:b w:val="true"/>
          <w:sz w:val="22"/>
        </w:rPr>
        <w:t>处置流程</w:t>
      </w:r>
      <w:r>
        <w:rPr>
          <w:rFonts w:eastAsia="等线" w:ascii="Arial" w:cs="Arial" w:hAnsi="Arial"/>
          <w:sz w:val="22"/>
        </w:rPr>
        <w:t>：</w:t>
      </w:r>
      <w:r>
        <w:rPr>
          <w:rFonts w:eastAsia="等线" w:ascii="Arial" w:cs="Arial" w:hAnsi="Arial"/>
          <w:sz w:val="22"/>
        </w:rPr>
        <w:t>发现不合格→派单对应主管/经理→分派位置/区域管理操作层员工→整改完毕上传结果→发现不合格人员进行结果验证→关闭</w:t>
      </w:r>
    </w:p>
    <w:p>
      <w:pPr>
        <w:spacing w:before="120" w:after="120" w:line="288" w:lineRule="auto"/>
        <w:ind w:left="0"/>
        <w:jc w:val="left"/>
      </w:pPr>
      <w:r>
        <w:rPr>
          <w:rFonts w:eastAsia="等线" w:ascii="Arial" w:cs="Arial" w:hAnsi="Arial"/>
          <w:sz w:val="22"/>
        </w:rPr>
        <w:t xml:space="preserve">      整改流程适用于园区环境保洁、设施设备、安全秩序、公共区域养护等所有日常巡检、抽查及专项检查场景，是物业现场精细化管理的核心闭环流程。整套流程权责清晰、层层衔接，实现问题从发现到销项的全流程管控，有效规避管理漏洞。</w:t>
      </w:r>
    </w:p>
    <w:p>
      <w:pPr>
        <w:spacing w:before="120" w:after="120" w:line="288" w:lineRule="auto"/>
        <w:ind w:left="0"/>
        <w:jc w:val="left"/>
      </w:pPr>
      <w:r>
        <w:rPr>
          <w:rFonts w:eastAsia="等线" w:ascii="Arial" w:cs="Arial" w:hAnsi="Arial"/>
          <w:sz w:val="22"/>
        </w:rPr>
        <w:t xml:space="preserve">       在日常巡检工作中，检查人员发现园区各类不合格问题后，第一时间登记问题详情并发起派单，将工单下发至对应条线主管或项目经理。管理人员接收工单后，根据问题所属区域、作业类型，精准分派给对应岗位的一线操作员工，明确整改标准与完成时限。一线员工按要求完成现场整改工作后，及时拍摄现场照片、上传整改结果，完成工单初步闭环。最终由最初发现问题的巡检人员进行复核验证，确认问题彻底整改、符合管理标准后，完成工单关闭，全程形成完整监管闭环。该流程有效压实各岗位责任，提升园区问题整改效率与现场管理质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3"/>
              <w:spacing w:before="300" w:after="120" w:line="288" w:lineRule="auto"/>
              <w:ind w:left="0"/>
              <w:jc w:val="left"/>
              <w:outlineLvl w:val="2"/>
            </w:pPr>
            <w:bookmarkStart w:name="heading_4" w:id="4"/>
            <w:r>
              <w:rPr>
                <w:rFonts w:eastAsia="等线" w:ascii="Arial" w:cs="Arial" w:hAnsi="Arial"/>
                <w:b w:val="true"/>
                <w:sz w:val="30"/>
              </w:rPr>
              <w:t>填写指导</w:t>
            </w:r>
            <w:bookmarkEnd w:id="4"/>
          </w:p>
          <w:p>
            <w:pPr>
              <w:numPr>
                <w:numId w:val="1"/>
              </w:numPr>
              <w:spacing w:before="120" w:after="120" w:line="288" w:lineRule="auto"/>
              <w:ind w:left="0"/>
              <w:jc w:val="left"/>
            </w:pPr>
            <w:r>
              <w:rPr>
                <w:rFonts w:eastAsia="等线" w:ascii="Arial" w:cs="Arial" w:hAnsi="Arial"/>
                <w:sz w:val="22"/>
              </w:rPr>
              <w:t>根据项目我实际情况，拆分不合格处置流程</w:t>
            </w:r>
          </w:p>
          <w:p>
            <w:pPr>
              <w:numPr>
                <w:numId w:val="2"/>
              </w:numPr>
              <w:spacing w:before="120" w:after="120" w:line="288" w:lineRule="auto"/>
              <w:ind w:left="0"/>
              <w:jc w:val="left"/>
            </w:pPr>
            <w:r>
              <w:rPr>
                <w:rFonts w:eastAsia="等线" w:ascii="Arial" w:cs="Arial" w:hAnsi="Arial"/>
                <w:sz w:val="22"/>
              </w:rPr>
              <w:t>可分为简易处置流程和标准处置流程</w:t>
            </w:r>
          </w:p>
          <w:p>
            <w:pPr>
              <w:numPr>
                <w:numId w:val="3"/>
              </w:numPr>
              <w:spacing w:before="120" w:after="120" w:line="288" w:lineRule="auto"/>
              <w:ind w:left="453"/>
              <w:jc w:val="left"/>
            </w:pPr>
            <w:r>
              <w:rPr>
                <w:rFonts w:eastAsia="等线" w:ascii="Arial" w:cs="Arial" w:hAnsi="Arial"/>
                <w:sz w:val="22"/>
              </w:rPr>
              <w:t>简易处置流程：发现不合格→派单对应主管/经理→分派位置/区域管理操作层员工→整改完毕上传结果→发现不合格人员进行结果验证→关闭</w:t>
            </w:r>
          </w:p>
          <w:p>
            <w:pPr>
              <w:numPr>
                <w:numId w:val="4"/>
              </w:numPr>
              <w:spacing w:before="120" w:after="120" w:line="288" w:lineRule="auto"/>
              <w:ind w:left="453"/>
              <w:jc w:val="left"/>
            </w:pPr>
            <w:r>
              <w:rPr>
                <w:rFonts w:eastAsia="等线" w:ascii="Arial" w:cs="Arial" w:hAnsi="Arial"/>
                <w:sz w:val="22"/>
              </w:rPr>
              <w:t>标准处置流程：发现不合格→接收不合格整改单→派单问题责任人→给出并落实临时对策→审核通过→给出根因及长期对策→审核通过→问题整改→审批通过→验证完成→关闭</w:t>
            </w:r>
          </w:p>
          <w:p>
            <w:pPr>
              <w:numPr>
                <w:numId w:val="5"/>
              </w:numPr>
              <w:spacing w:before="120" w:after="120" w:line="288" w:lineRule="auto"/>
              <w:ind w:left="0"/>
              <w:jc w:val="left"/>
            </w:pPr>
            <w:r>
              <w:rPr>
                <w:rFonts w:eastAsia="等线" w:ascii="Arial" w:cs="Arial" w:hAnsi="Arial"/>
                <w:sz w:val="22"/>
              </w:rPr>
              <w:t>给出标准处置情况下的简易处置流程与标准处置流程场景/应用阶段。</w:t>
            </w:r>
          </w:p>
        </w:tc>
      </w:tr>
    </w:tbl>
    <w:p>
      <w:pPr>
        <w:pStyle w:val="1"/>
        <w:spacing w:before="380" w:after="140" w:line="288" w:lineRule="auto"/>
        <w:ind w:left="0"/>
        <w:jc w:val="left"/>
        <w:outlineLvl w:val="0"/>
      </w:pPr>
      <w:bookmarkStart w:name="heading_5" w:id="5"/>
      <w:r>
        <w:rPr>
          <w:rFonts w:eastAsia="等线" w:ascii="Arial" w:cs="Arial" w:hAnsi="Arial"/>
          <w:b w:val="true"/>
          <w:sz w:val="36"/>
        </w:rPr>
        <w:t>11.3 纠正措施制定与实施</w:t>
      </w:r>
      <w:bookmarkEnd w:id="5"/>
    </w:p>
    <w:p>
      <w:pPr>
        <w:spacing w:before="120" w:after="120" w:line="288" w:lineRule="auto"/>
        <w:ind w:left="0"/>
        <w:jc w:val="left"/>
      </w:pPr>
      <w:r>
        <w:rPr>
          <w:rFonts w:eastAsia="等线" w:ascii="Arial" w:cs="Arial" w:hAnsi="Arial"/>
          <w:sz w:val="22"/>
        </w:rPr>
        <w:t xml:space="preserve">       为彻底消除园区巡检各类不合格问题根源，杜绝同类问题重复发生，夯实物业精细化管理成效，结合整改闭环工作流程，相关管控措施如下：</w:t>
      </w:r>
    </w:p>
    <w:p>
      <w:pPr>
        <w:spacing w:before="120" w:after="120" w:line="288" w:lineRule="auto"/>
        <w:ind w:left="0"/>
        <w:jc w:val="left"/>
      </w:pPr>
      <w:r>
        <w:rPr>
          <w:rFonts w:eastAsia="等线" w:ascii="Arial" w:cs="Arial" w:hAnsi="Arial"/>
          <w:sz w:val="22"/>
        </w:rPr>
        <w:t xml:space="preserve">       1、针对每次巡检发现的保洁、设施、秩序、养护等不合格问题，完成闭环整改后，管理人员同步梳理问题成因，区分人为疏忽、作业不规范、设备老化、管控盲区等不同根源，建立问题台账，做到一案一分析、一事一总结。</w:t>
      </w:r>
    </w:p>
    <w:p>
      <w:pPr>
        <w:spacing w:before="120" w:after="120" w:line="288" w:lineRule="auto"/>
        <w:ind w:left="0"/>
        <w:jc w:val="left"/>
      </w:pPr>
      <w:r>
        <w:rPr>
          <w:rFonts w:eastAsia="等线" w:ascii="Arial" w:cs="Arial" w:hAnsi="Arial"/>
          <w:sz w:val="22"/>
        </w:rPr>
        <w:t xml:space="preserve">       2、定期组织一线员工开展SOP培训，统一整改标准、作业流程，纠正不规范操作习惯，从源头减少基础问题。</w:t>
      </w:r>
    </w:p>
    <w:p>
      <w:pPr>
        <w:spacing w:before="120" w:after="120" w:line="288" w:lineRule="auto"/>
        <w:ind w:left="0"/>
        <w:jc w:val="left"/>
      </w:pPr>
      <w:r>
        <w:rPr>
          <w:rFonts w:eastAsia="等线" w:ascii="Arial" w:cs="Arial" w:hAnsi="Arial"/>
          <w:sz w:val="22"/>
        </w:rPr>
        <w:t xml:space="preserve">       3、优化岗位排班与区域责任制，细化各员工管辖区域、工作职责，杜绝推诿敷衍，压实日常巡检与常态化自查责任。</w:t>
      </w:r>
    </w:p>
    <w:p>
      <w:pPr>
        <w:spacing w:before="120" w:after="120" w:line="288" w:lineRule="auto"/>
        <w:ind w:left="0"/>
        <w:jc w:val="left"/>
      </w:pPr>
      <w:r>
        <w:rPr>
          <w:rFonts w:eastAsia="等线" w:ascii="Arial" w:cs="Arial" w:hAnsi="Arial"/>
          <w:sz w:val="22"/>
        </w:rPr>
        <w:t xml:space="preserve">       4、建立问题复盘机制，对已整改完成的点位定期复核抽查，重点核查高频问题、薄弱区域，及时排查潜在隐患。</w:t>
      </w:r>
    </w:p>
    <w:p>
      <w:pPr>
        <w:spacing w:before="120" w:after="120" w:line="288" w:lineRule="auto"/>
        <w:ind w:left="0"/>
        <w:jc w:val="left"/>
      </w:pPr>
      <w:r>
        <w:rPr>
          <w:rFonts w:eastAsia="等线" w:ascii="Arial" w:cs="Arial" w:hAnsi="Arial"/>
          <w:sz w:val="22"/>
        </w:rPr>
        <w:t xml:space="preserve">       5、通过溯源整改、规范作业、强化巡检、常态化复核的方式，彻底消除问题滋生根源，有效防范同类不合格问题反复出现，持续提升园区服务管理品质。</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纠正措施：为消除不合格的原因并防止再次发生所采取的措施。</w:t>
            </w:r>
          </w:p>
          <w:p>
            <w:pPr>
              <w:spacing w:before="120" w:after="120" w:line="288" w:lineRule="auto"/>
              <w:ind w:left="0"/>
              <w:jc w:val="left"/>
            </w:pPr>
            <w:r>
              <w:rPr>
                <w:rFonts w:eastAsia="等线" w:ascii="Arial" w:cs="Arial" w:hAnsi="Arial"/>
                <w:sz w:val="22"/>
              </w:rPr>
              <w:t>根据项目实际情况，编制纠正措施，需要告知编制纠正措施方式/方法，并根据项目的人员实际情况，告知实施路径或举例说明即可。</w:t>
            </w:r>
          </w:p>
        </w:tc>
      </w:tr>
    </w:tbl>
    <w:p>
      <w:pPr>
        <w:pStyle w:val="2"/>
        <w:spacing w:before="320" w:after="120" w:line="288" w:lineRule="auto"/>
        <w:ind w:left="0"/>
        <w:jc w:val="left"/>
        <w:outlineLvl w:val="1"/>
      </w:pPr>
      <w:bookmarkStart w:name="heading_6" w:id="6"/>
      <w:r>
        <w:rPr>
          <w:rFonts w:eastAsia="等线" w:ascii="Arial" w:cs="Arial" w:hAnsi="Arial"/>
          <w:b w:val="true"/>
          <w:sz w:val="32"/>
        </w:rPr>
        <w:t>纠正预防措施记录清单</w:t>
      </w:r>
      <w:bookmarkEnd w:id="6"/>
    </w:p>
    <w:p>
      <w:pPr>
        <w:spacing w:before="120" w:after="120" w:line="288" w:lineRule="auto"/>
        <w:ind w:left="0"/>
        <w:jc w:val="left"/>
      </w:pPr>
      <w:r>
        <w:rPr>
          <w:rFonts w:eastAsia="等线" w:ascii="Arial" w:cs="Arial" w:hAnsi="Arial"/>
          <w:b w:val="true"/>
          <w:sz w:val="22"/>
        </w:rPr>
        <w:t>使用说明：</w:t>
      </w:r>
      <w:r>
        <w:rPr>
          <w:rFonts w:eastAsia="等线" w:ascii="Arial" w:cs="Arial" w:hAnsi="Arial"/>
          <w:sz w:val="22"/>
        </w:rPr>
        <w:br/>
      </w:r>
      <w:r>
        <w:rPr>
          <w:rFonts w:eastAsia="等线" w:ascii="Arial" w:cs="Arial" w:hAnsi="Arial"/>
          <w:sz w:val="22"/>
        </w:rPr>
        <w:t>本清单用于项目识别并记录需要启动纠正预防的事项。纠正预防不是普通问题整改，而是针对重复发生、影响较大、安全风险、系统性缺陷或外部检查提出的问题，分析原因并制定防止再次发生的措施。</w:t>
      </w:r>
    </w:p>
    <w:p>
      <w:pPr>
        <w:spacing w:before="120" w:after="120" w:line="288" w:lineRule="auto"/>
        <w:ind w:left="0"/>
        <w:jc w:val="left"/>
      </w:pPr>
      <w:r>
        <w:rPr>
          <w:rFonts w:eastAsia="等线" w:ascii="Arial" w:cs="Arial" w:hAnsi="Arial"/>
          <w:sz w:val="22"/>
        </w:rPr>
        <w:t>项目发现问题后，先判断是否需要纳入本清单；一般单次、轻微、现场可立即整改的问题，可按日常整改处理，不必全部纳入纠正预防。</w:t>
      </w:r>
    </w:p>
    <w:p>
      <w:pPr>
        <w:spacing w:before="120" w:after="120" w:line="288" w:lineRule="auto"/>
        <w:ind w:left="0"/>
        <w:jc w:val="left"/>
      </w:pPr>
      <w:r>
        <w:rPr>
          <w:rFonts w:eastAsia="等线" w:ascii="Arial" w:cs="Arial" w:hAnsi="Arial"/>
          <w:b w:val="true"/>
          <w:sz w:val="22"/>
        </w:rPr>
        <w:t>纳入清单的启动原因：</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23pt;mso-width-percent:0;mso-height-percent:0;mso-width-percent:0;mso-height-percent:0" type="#_x0000_t75" o:ole="">
            <v:imagedata r:id="rId9" o:title=""/>
          </v:shape>
          <o:OLEObject DrawAspect="Icon" ObjectID="_1718471219" ProgID="Excel.Sheet.12" ShapeID="_x0000_i1025"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如同一问题符合多类，按以下顺序确定主类：</w:t>
      </w:r>
      <w:r>
        <w:rPr>
          <w:rFonts w:eastAsia="等线" w:ascii="Arial" w:cs="Arial" w:hAnsi="Arial"/>
          <w:b w:val="true"/>
          <w:sz w:val="22"/>
        </w:rPr>
        <w:t>安全风险 &gt; 外部检查/审核 &gt; 重大影响 &gt; 系统性问题 &gt; 重复性问题</w:t>
      </w:r>
    </w:p>
    <w:p>
      <w:pPr>
        <w:pStyle w:val="2"/>
        <w:spacing w:before="320" w:after="120" w:line="288" w:lineRule="auto"/>
        <w:ind w:left="0"/>
        <w:jc w:val="left"/>
        <w:outlineLvl w:val="1"/>
      </w:pPr>
      <w:bookmarkStart w:name="heading_7" w:id="7"/>
      <w:r>
        <w:rPr>
          <w:rFonts w:eastAsia="等线" w:ascii="Arial" w:cs="Arial" w:hAnsi="Arial"/>
          <w:b w:val="true"/>
          <w:sz w:val="32"/>
        </w:rPr>
        <w:t>纠正预防措施记录清单</w:t>
      </w:r>
      <w:bookmarkEnd w:id="7"/>
    </w:p>
    <w:p>
      <w:pPr>
        <w:spacing w:before="120" w:after="120" w:line="288" w:lineRule="auto"/>
        <w:ind w:left="0"/>
      </w:pPr>
      <w:r>
        <w:object>
          <v:shape id="_x0000_i1026" style="width:414pt;height:197pt;mso-width-percent:0;mso-height-percent:0;mso-width-percent:0;mso-height-percent:0" type="#_x0000_t75" o:ole="">
            <v:imagedata r:id="rId11" o:title=""/>
          </v:shape>
          <o:OLEObject DrawAspect="Icon" ObjectID="_1718471220" ProgID="Excel.Sheet.12" ShapeID="_x0000_i1026" Type="Embed" r:id="rId10"/>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8" w:id="8"/>
      <w:r>
        <w:rPr>
          <w:rFonts w:eastAsia="等线" w:ascii="Arial" w:cs="Arial" w:hAnsi="Arial"/>
          <w:b w:val="true"/>
          <w:sz w:val="36"/>
        </w:rPr>
        <w:t>11.4 措施有效性验证与预防再发生</w:t>
      </w:r>
      <w:bookmarkEnd w:id="8"/>
    </w:p>
    <w:p>
      <w:pPr>
        <w:spacing w:before="120" w:after="120" w:line="288" w:lineRule="auto"/>
        <w:ind w:left="0"/>
      </w:pPr>
      <w:r>
        <w:object>
          <v:shape id="_x0000_i1027" style="width:414pt;height:197pt;mso-width-percent:0;mso-height-percent:0;mso-width-percent:0;mso-height-percent:0" type="#_x0000_t75" o:ole="">
            <v:imagedata r:id="rId13" o:title=""/>
          </v:shape>
          <o:OLEObject DrawAspect="Icon" ObjectID="_1718471221" ProgID="Excel.Sheet.12" ShapeID="_x0000_i1027" Type="Embed" r:id="rId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536603">
    <w:lvl>
      <w:start w:val="1"/>
      <w:numFmt w:val="decimal"/>
      <w:suff w:val="tab"/>
      <w:lvlText w:val="%1."/>
      <w:rPr>
        <w:color w:val="3370ff"/>
      </w:rPr>
    </w:lvl>
  </w:abstractNum>
  <w:abstractNum w:abstractNumId="1536604">
    <w:lvl>
      <w:start w:val="2"/>
      <w:numFmt w:val="decimal"/>
      <w:suff w:val="tab"/>
      <w:lvlText w:val="%1."/>
      <w:rPr>
        <w:color w:val="3370ff"/>
      </w:rPr>
    </w:lvl>
  </w:abstractNum>
  <w:abstractNum w:abstractNumId="1536605">
    <w:lvl>
      <w:numFmt w:val="bullet"/>
      <w:suff w:val="tab"/>
      <w:lvlText w:val="￮"/>
      <w:rPr>
        <w:color w:val="3370ff"/>
      </w:rPr>
    </w:lvl>
  </w:abstractNum>
  <w:abstractNum w:abstractNumId="1536606">
    <w:lvl>
      <w:numFmt w:val="bullet"/>
      <w:suff w:val="tab"/>
      <w:lvlText w:val="￮"/>
      <w:rPr>
        <w:color w:val="3370ff"/>
      </w:rPr>
    </w:lvl>
  </w:abstractNum>
  <w:abstractNum w:abstractNumId="1536607">
    <w:lvl>
      <w:start w:val="3"/>
      <w:numFmt w:val="decimal"/>
      <w:suff w:val="tab"/>
      <w:lvlText w:val="%1."/>
      <w:rPr>
        <w:color w:val="3370ff"/>
      </w:rPr>
    </w:lvl>
  </w:abstractNum>
  <w:num w:numId="1">
    <w:abstractNumId w:val="1536603"/>
  </w:num>
  <w:num w:numId="2">
    <w:abstractNumId w:val="1536604"/>
  </w:num>
  <w:num w:numId="3">
    <w:abstractNumId w:val="1536605"/>
  </w:num>
  <w:num w:numId="4">
    <w:abstractNumId w:val="1536606"/>
  </w:num>
  <w:num w:numId="5">
    <w:abstractNumId w:val="153660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2.xlsx" Type="http://schemas.openxmlformats.org/officeDocument/2006/relationships/package"/><Relationship Id="rId11" Target="media/image2.png" Type="http://schemas.openxmlformats.org/officeDocument/2006/relationships/image"/><Relationship Id="rId12" Target="embeddings/Microsoft_Excel_Worksheet3.xlsx" Type="http://schemas.openxmlformats.org/officeDocument/2006/relationships/package"/><Relationship Id="rId13" Target="media/image3.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ccpg1987.feishu.cn/wiki/SnK4wKLOki38lskLMQBcjW7pnLh?from=from_copylink" TargetMode="External" Type="http://schemas.openxmlformats.org/officeDocument/2006/relationships/hyperlink"/><Relationship Id="rId5" Target="https://ccpg1987.feishu.cn/wiki/VMEiwXQGxijtEIk7uZXc6xccn5e?from=from_copylink" TargetMode="External" Type="http://schemas.openxmlformats.org/officeDocument/2006/relationships/hyperlink"/><Relationship Id="rId6" Target="https://ccpg1987.feishu.cn/wiki/A8e0wTRlniql0Ekm8cWcXZFQnub?from=from_copylink" TargetMode="External" Type="http://schemas.openxmlformats.org/officeDocument/2006/relationships/hyperlink"/><Relationship Id="rId7" Target="numbering.xml" Type="http://schemas.openxmlformats.org/officeDocument/2006/relationships/numbering"/><Relationship Id="rId8" Target="embeddings/Microsoft_Excel_Worksheet1.xlsx" Type="http://schemas.openxmlformats.org/officeDocument/2006/relationships/package"/><Relationship Id="rId9" Target="media/image1.png" Type="http://schemas.openxmlformats.org/officeDocument/2006/relationships/image"/></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2026-10-10T02:16:37Z</dcterms:created>
  <dc:creator>Apache POI</dc:creator>
</cp:coreProperties>
</file>