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3.1-4 项目管理用房、设备房、重点部位清单（输出模板）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一、物业管理用房清单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60"/>
        <w:gridCol w:w="900"/>
        <w:gridCol w:w="900"/>
        <w:gridCol w:w="900"/>
        <w:gridCol w:w="900"/>
        <w:gridCol w:w="960"/>
        <w:gridCol w:w="900"/>
        <w:gridCol w:w="900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规划用途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实际用途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使用状态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是否纳入管理用房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GL-001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物业服务中心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□使用中　□闲置　□改作他用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□是　□否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GL-002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物业公司办公室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□使用中　□闲置　□改作他用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□是　□否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GL-003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□使用中　□闲置　□改作他用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□是　□否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填写提示：</w:t>
      </w:r>
      <w:r>
        <w:rPr>
          <w:rFonts w:eastAsia="等线" w:ascii="Arial" w:cs="Arial" w:hAnsi="Arial"/>
          <w:sz w:val="22"/>
        </w:rPr>
        <w:t>物业管理用房包括客服接待、项目办公、会议、档案、员工值班等用于物业管理工作的房间。房间内如以设备运行维护为主要用途，应归入设备房。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二、设备房清单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945"/>
        <w:gridCol w:w="900"/>
        <w:gridCol w:w="900"/>
        <w:gridCol w:w="900"/>
        <w:gridCol w:w="945"/>
        <w:gridCol w:w="945"/>
        <w:gridCol w:w="900"/>
        <w:gridCol w:w="90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主要设备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设备数量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____台/套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□部分运行　□停用　□故障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SB-002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____台/套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□部分运行　□停用　□故障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SB-003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____台/套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□部分运行　□停用　□故障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设备房类别参考：</w:t>
      </w:r>
      <w:r>
        <w:rPr>
          <w:rFonts w:eastAsia="等线" w:ascii="Arial" w:cs="Arial" w:hAnsi="Arial"/>
          <w:sz w:val="22"/>
        </w:rPr>
        <w:t>配电房、发电机房、水泵房、消防泵房、生活水泵房、电梯机房、风机房、监控室、消防控制室、弱电机房、空调机房、变频机房、充电设备间及其他专业设备房。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三、重点关键部位清单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900"/>
        <w:gridCol w:w="900"/>
        <w:gridCol w:w="960"/>
        <w:gridCol w:w="900"/>
        <w:gridCol w:w="900"/>
        <w:gridCol w:w="960"/>
        <w:gridCol w:w="900"/>
        <w:gridCol w:w="900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重点部位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所在位置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规模/数量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重点关注事项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□出入口　□交通节点　□公共空间　□消防重点部位　□高空风险　□其他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□需关注　□存在隐患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□出入口　□交通节点　□公共空间　□消防重点部位　□高空风险　□其他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□需关注　□存在隐患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ZD-003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□出入口　□交通节点　□公共空间　□消防重点部位　□高空风险　□其他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□正常　□需关注　□存在隐患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2026-10-10T02:04:56Z</dcterms:created>
  <dc:creator>Apache POI</dc:creator>
</cp:coreProperties>
</file>