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3.3 项目特点分析</w:t>
      </w:r>
      <w:r>
        <w:rPr>
          <w:rFonts w:eastAsia="等线" w:ascii="Arial" w:cs="Arial" w:hAnsi="Arial"/>
          <w:b w:val="true"/>
          <w:sz w:val="52"/>
        </w:rPr>
        <w:t>输出模板</w:t>
      </w:r>
      <w:r>
        <w:rPr>
          <w:rFonts w:eastAsia="等线" w:ascii="Arial" w:cs="Arial" w:hAnsi="Arial"/>
          <w:b w:val="true"/>
          <w:sz w:val="52"/>
        </w:rPr>
        <w:t>【输出模板】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50"/>
        <w:gridCol w:w="1740"/>
        <w:gridCol w:w="2460"/>
        <w:gridCol w:w="3330"/>
      </w:tblGrid>
      <w:tr>
        <w:tc>
          <w:tcPr>
            <w:tcW w:w="249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项目特点</w:t>
            </w:r>
          </w:p>
        </w:tc>
        <w:tc>
          <w:tcPr>
            <w:tcW w:w="17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潜在的管理问题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拟采取的对策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项目选址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公共服务配套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房屋本体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配套</w:t>
            </w:r>
            <w:r>
              <w:rPr>
                <w:rFonts w:eastAsia="等线" w:ascii="Arial" w:cs="Arial" w:hAnsi="Arial"/>
                <w:sz w:val="22"/>
              </w:rPr>
              <w:t>用房/场地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景观设计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交通</w:t>
            </w:r>
            <w:r>
              <w:rPr>
                <w:rFonts w:eastAsia="等线" w:ascii="Arial" w:cs="Arial" w:hAnsi="Arial"/>
                <w:b w:val="true"/>
                <w:sz w:val="22"/>
              </w:rPr>
              <w:t>动线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设备、设施（含特种设备、设备房）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......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2026-10-10T02:06:03Z</dcterms:created>
  <dc:creator>Apache POI</dc:creator>
</cp:coreProperties>
</file>