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3.4 关键挑战及成功因素描述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810"/>
        <w:gridCol w:w="810"/>
        <w:gridCol w:w="2655"/>
        <w:gridCol w:w="3300"/>
      </w:tblGrid>
      <w:tr>
        <w:tc>
          <w:tcPr>
            <w:tcW w:w="72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  目</w:t>
            </w:r>
          </w:p>
        </w:tc>
        <w:tc>
          <w:tcPr>
            <w:tcW w:w="34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关键挑战及成功因素描述</w:t>
            </w:r>
          </w:p>
        </w:tc>
        <w:tc>
          <w:tcPr>
            <w:tcW w:w="2655" w:type="dxa"/>
            <w:hMerge w:val="continue"/>
            <w:tcMar>
              <w:top w:type="dxa" w:w="60"/>
              <w:left w:type="dxa" w:w="120"/>
              <w:bottom w:type="dxa" w:w="30"/>
              <w:right w:type="dxa" w:w="120"/>
            </w:tcMar>
          </w:tcPr>
          <w:p>
            <w:pPr>
              <w:spacing w:before="120" w:after="120" w:line="288" w:lineRule="auto"/>
              <w:ind w:left="0"/>
              <w:jc w:val="left"/>
            </w:pPr>
          </w:p>
        </w:tc>
        <w:tc>
          <w:tcPr>
            <w:tcW w:w="33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对    策</w:t>
            </w:r>
          </w:p>
        </w:tc>
      </w:tr>
      <w:tr>
        <w:tc>
          <w:tcPr>
            <w:tcW w:w="720" w:type="dxa"/>
            <w:v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rPr>
                <w:rFonts w:eastAsia="等线" w:ascii="Arial" w:cs="Arial" w:hAnsi="Arial"/>
                <w:sz w:val="22"/>
              </w:rPr>
              <w:t>流程资源</w:t>
            </w:r>
          </w:p>
        </w:tc>
        <w:tc>
          <w:tcPr>
            <w:tcW w:w="8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客户服务</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海印长城一期建成</w:t>
            </w:r>
            <w:r>
              <w:rPr>
                <w:rFonts w:eastAsia="等线" w:ascii="Arial" w:cs="Arial" w:hAnsi="Arial"/>
                <w:sz w:val="22"/>
              </w:rPr>
              <w:t>时间较久</w:t>
            </w:r>
            <w:r>
              <w:rPr>
                <w:rFonts w:eastAsia="等线" w:ascii="Arial" w:cs="Arial" w:hAnsi="Arial"/>
                <w:sz w:val="22"/>
              </w:rPr>
              <w:t>、</w:t>
            </w:r>
            <w:r>
              <w:rPr>
                <w:rFonts w:eastAsia="等线" w:ascii="Arial" w:cs="Arial" w:hAnsi="Arial"/>
                <w:sz w:val="22"/>
              </w:rPr>
              <w:t>公共设施老化</w:t>
            </w:r>
            <w:r>
              <w:rPr>
                <w:rFonts w:eastAsia="等线" w:ascii="Arial" w:cs="Arial" w:hAnsi="Arial"/>
                <w:sz w:val="22"/>
              </w:rPr>
              <w:t>，维修工作量大，业主</w:t>
            </w:r>
            <w:r>
              <w:rPr>
                <w:rFonts w:eastAsia="等线" w:ascii="Arial" w:cs="Arial" w:hAnsi="Arial"/>
                <w:sz w:val="22"/>
              </w:rPr>
              <w:t>诉求繁杂</w:t>
            </w:r>
            <w:r>
              <w:rPr>
                <w:rFonts w:eastAsia="等线" w:ascii="Arial" w:cs="Arial" w:hAnsi="Arial"/>
                <w:sz w:val="22"/>
              </w:rPr>
              <w:t>，公共资源调配与纠纷协调压力突出。</w:t>
            </w:r>
          </w:p>
          <w:p>
            <w:pPr>
              <w:spacing w:before="120" w:after="120" w:line="288" w:lineRule="auto"/>
              <w:ind w:left="0"/>
              <w:jc w:val="left"/>
            </w:pPr>
          </w:p>
        </w:tc>
        <w:tc>
          <w:tcPr>
            <w:tcW w:w="3300" w:type="dxa"/>
            <w:vMerge w:val="restart"/>
            <w:tcMar>
              <w:top w:type="dxa" w:w="60"/>
              <w:left w:type="dxa" w:w="120"/>
              <w:bottom w:type="dxa" w:w="30"/>
              <w:right w:type="dxa" w:w="120"/>
            </w:tcMar>
          </w:tcPr>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7月XX日前客户关系经理与运营交付经理共同编制完成项目问题联动机制流程；</w:t>
            </w:r>
          </w:p>
          <w:p>
            <w:pPr>
              <w:numPr>
                <w:numId w:val="2"/>
              </w:numPr>
              <w:spacing w:before="120" w:after="120" w:line="288" w:lineRule="auto"/>
              <w:ind w:left="0"/>
              <w:jc w:val="left"/>
            </w:pPr>
            <w:r>
              <w:rPr>
                <w:rFonts w:eastAsia="等线" w:ascii="Arial" w:cs="Arial" w:hAnsi="Arial"/>
                <w:sz w:val="22"/>
              </w:rPr>
              <w:t>运营交付经理定期（月度）统计分析，对频繁事项增加维保频次，保证设施完好，降低故障率同时减少投诉报修率；</w:t>
            </w:r>
          </w:p>
          <w:p>
            <w:pPr>
              <w:numPr>
                <w:numId w:val="3"/>
              </w:numPr>
              <w:spacing w:before="120" w:after="120" w:line="288" w:lineRule="auto"/>
              <w:ind w:left="0"/>
              <w:jc w:val="left"/>
            </w:pPr>
            <w:r>
              <w:rPr>
                <w:rFonts w:eastAsia="等线" w:ascii="Arial" w:cs="Arial" w:hAnsi="Arial"/>
                <w:sz w:val="22"/>
              </w:rPr>
              <w:t>客户关系、运营交付重点关注节假日、周末时间段，对排班情况进行调整，重点安排日常维修人员，并进行维修过程跟进；</w:t>
            </w:r>
          </w:p>
          <w:p>
            <w:pPr>
              <w:numPr>
                <w:numId w:val="4"/>
              </w:numPr>
              <w:spacing w:before="120" w:after="120" w:line="288" w:lineRule="auto"/>
              <w:ind w:left="0"/>
              <w:jc w:val="left"/>
            </w:pPr>
            <w:r>
              <w:rPr>
                <w:rFonts w:eastAsia="等线" w:ascii="Arial" w:cs="Arial" w:hAnsi="Arial"/>
                <w:sz w:val="22"/>
              </w:rPr>
              <w:t>项目经理重点关注投诉分级处理机制，一般问题当日办结，重大问题 3 日内闭环并回访。</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依托多部门高效联动机制，快速响应业主诉求，及时公示整改进度。落实标准化维保作业，主动开展沟通回访，用精细化服务化解矛盾，持续提升业主认可度。</w:t>
            </w:r>
          </w:p>
          <w:p>
            <w:pPr>
              <w:spacing w:before="120" w:after="120" w:line="288" w:lineRule="auto"/>
              <w:ind w:left="0"/>
              <w:jc w:val="left"/>
            </w:pP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工程服务</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园区设施设备数量多、系统复杂，</w:t>
            </w:r>
            <w:r>
              <w:rPr>
                <w:rFonts w:eastAsia="等线" w:ascii="Arial" w:cs="Arial" w:hAnsi="Arial"/>
                <w:sz w:val="22"/>
              </w:rPr>
              <w:t>部分消防设备</w:t>
            </w:r>
            <w:r>
              <w:rPr>
                <w:rFonts w:eastAsia="等线" w:ascii="Arial" w:cs="Arial" w:hAnsi="Arial"/>
                <w:sz w:val="22"/>
              </w:rPr>
              <w:t>如地库消防警铃线路老化容易误报</w:t>
            </w:r>
            <w:r>
              <w:rPr>
                <w:rFonts w:eastAsia="等线" w:ascii="Arial" w:cs="Arial" w:hAnsi="Arial"/>
                <w:sz w:val="22"/>
              </w:rPr>
              <w:t>；周末维修工单集中，设备日常维保与应急抢修压力并存</w:t>
            </w:r>
          </w:p>
          <w:p>
            <w:pPr>
              <w:spacing w:before="120" w:after="120" w:line="288" w:lineRule="auto"/>
              <w:ind w:left="0"/>
              <w:jc w:val="left"/>
            </w:pPr>
          </w:p>
          <w:p>
            <w:pPr>
              <w:spacing w:before="120" w:after="120" w:line="288" w:lineRule="auto"/>
              <w:ind w:left="0"/>
              <w:jc w:val="left"/>
            </w:pPr>
          </w:p>
        </w:tc>
        <w:tc>
          <w:tcPr>
            <w:tcW w:w="3300" w:type="dxa"/>
            <w:vMerge w:val="restart"/>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sz w:val="22"/>
              </w:rPr>
              <w:t xml:space="preserve">运营交付经理（统筹）、各专业维保单位（电梯/消防/楼宇等）制定《项目设施设备年度维保计划》，建立"日常巡检 + 月度专项 + 季度大修"三级维保体系；建立问题整改清单（含遗留消防故障），硬性要求日常巡检覆盖率 100%；月度专项维保完成率 ≥ 98%；遗留消防故障100% 建立整改清单且每月闭环率 ≥ 15%；维保记录完整可追溯。 </w:t>
            </w:r>
          </w:p>
          <w:p>
            <w:pPr>
              <w:numPr>
                <w:numId w:val="6"/>
              </w:numPr>
              <w:spacing w:before="120" w:after="120" w:line="288" w:lineRule="auto"/>
              <w:ind w:left="0"/>
              <w:jc w:val="left"/>
            </w:pPr>
            <w:r>
              <w:rPr>
                <w:rFonts w:eastAsia="等线" w:ascii="Arial" w:cs="Arial" w:hAnsi="Arial"/>
                <w:sz w:val="22"/>
              </w:rPr>
              <w:t>运营交付经理排班并统筹维修技工团队，建立周末/节假日维修工单预判机制（基于历史数据分析高频故障节点）；提前 24 小时安排值班人员与备件；建立工单分级（一般/紧急/抢修），每周五完成周末值班人员确认，关键备件到位；节假日结束次日运营交付经理复盘工单处理时效。周末工单当日响应率 100%；一般工单4小时内闭环；紧急工单 2 小时内到场；抢修工单 30 分钟内到场；节假日投诉率较工作日不超过+10%。</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建立常态化维保与问题整改机制，联动专业维保单位，合理排班保障维修响应速度。</w:t>
            </w: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秩序服务</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z w:val="22"/>
              </w:rPr>
              <w:t>园区毗邻商圈，人流量、车流量大；</w:t>
            </w:r>
          </w:p>
          <w:p>
            <w:pPr>
              <w:numPr>
                <w:numId w:val="8"/>
              </w:numPr>
              <w:spacing w:before="120" w:after="120" w:line="288" w:lineRule="auto"/>
              <w:ind w:left="0"/>
              <w:jc w:val="left"/>
            </w:pPr>
            <w:r>
              <w:rPr>
                <w:rFonts w:eastAsia="等线" w:ascii="Arial" w:cs="Arial" w:hAnsi="Arial"/>
                <w:sz w:val="22"/>
              </w:rPr>
              <w:t>租户较多，外来人员、访客管控难度高；</w:t>
            </w:r>
          </w:p>
          <w:p>
            <w:pPr>
              <w:numPr>
                <w:numId w:val="9"/>
              </w:numPr>
              <w:spacing w:before="120" w:after="120" w:line="288" w:lineRule="auto"/>
              <w:ind w:left="0"/>
              <w:jc w:val="left"/>
            </w:pPr>
            <w:r>
              <w:rPr>
                <w:rFonts w:eastAsia="等线" w:ascii="Arial" w:cs="Arial" w:hAnsi="Arial"/>
                <w:sz w:val="22"/>
              </w:rPr>
              <w:t>车辆乱停、大件物品违规进出等问题频发。</w:t>
            </w:r>
          </w:p>
          <w:p>
            <w:pPr>
              <w:spacing w:before="120" w:after="120" w:line="288" w:lineRule="auto"/>
              <w:ind w:left="0"/>
              <w:jc w:val="left"/>
            </w:pPr>
          </w:p>
        </w:tc>
        <w:tc>
          <w:tcPr>
            <w:tcW w:w="3300" w:type="dxa"/>
            <w:vMerge w:val="restart"/>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项目经理作为总指挥，秩序主管做工作执行，运营交付经理进行技防对接，划分商圈边界、主入口、楼栋单元、重点区域（地库、机房等）、监控盲区5 级布防；每级配置人防岗 + 技防设施（监控/门禁/道闸/巡更）；建立盲区排查清单。秩序主管与运营交付经理完成项目5级不封图绘制（含盲区标注），完成监控盲区补点（新增不少于 5 个点位）每季度首月 10 日前项目经理组织布防体系复盘调整。项目必须执行监控覆盖率 ≥ 98%，监控完好率 ≥ 95%、巡更点位打卡率 100%、重点区域技防 + 人防双覆盖。</w:t>
            </w:r>
          </w:p>
          <w:p>
            <w:pPr>
              <w:numPr>
                <w:numId w:val="11"/>
              </w:numPr>
              <w:spacing w:before="120" w:after="120" w:line="288" w:lineRule="auto"/>
              <w:ind w:left="0"/>
              <w:jc w:val="left"/>
            </w:pPr>
            <w:r>
              <w:rPr>
                <w:rFonts w:eastAsia="等线" w:ascii="Arial" w:cs="Arial" w:hAnsi="Arial"/>
                <w:sz w:val="22"/>
              </w:rPr>
              <w:t>秩序主管统筹，客户关系经理进行业主/租户信息维护， 建立业主 / 租户 / 访客 / 外卖快递 / 装修工5 类人员识别机制，推行人脸 + 门禁卡 + 访客登记"多技术组合；建立租户信息动态更新机制。每月 5 日前客户关系经理更新租户变动台账 ，做到业主人脸识别通过率 ≥ 99%、租户信息完整率 ≥ 95%、访客登记率 100%、外来人员（外卖/快递/装修）登记率 100%、门禁代刷/尾随次数≤5次/月。</w:t>
            </w:r>
          </w:p>
          <w:p>
            <w:pPr>
              <w:numPr>
                <w:numId w:val="12"/>
              </w:numPr>
              <w:spacing w:before="120" w:after="120" w:line="288" w:lineRule="auto"/>
              <w:ind w:left="0"/>
              <w:jc w:val="left"/>
            </w:pPr>
            <w:r>
              <w:rPr>
                <w:rFonts w:eastAsia="等线" w:ascii="Arial" w:cs="Arial" w:hAnsi="Arial"/>
                <w:sz w:val="22"/>
              </w:rPr>
              <w:t>秩序主管进行车场管理、运营交付经理对道闸/系统维护、客户关系经理进行业主车位协调， 推行车牌识别 + 月卡/临时卡 + 车位引导一体化管理；建立违规停车（占用他人车位/堵塞消防通道/占用新能源充电位）即时处置流程；建立共享车位机制缓解高峰期车位不足，每日 7:30-8:30 / 18:00-19:00：早晚高峰秩序主管 + 1 名秩序员在地库出入口值守现场处置停车问题。</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分区落实安全布防，人+技结合，严控人员、车辆、物品出入管控。</w:t>
            </w: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保洁服务</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小区孩童、宠物较多，公共环境卫生易被破坏；</w:t>
            </w:r>
          </w:p>
          <w:p>
            <w:pPr>
              <w:numPr>
                <w:numId w:val="14"/>
              </w:numPr>
              <w:spacing w:before="120" w:after="120" w:line="288" w:lineRule="auto"/>
              <w:ind w:left="0"/>
              <w:jc w:val="left"/>
            </w:pPr>
            <w:r>
              <w:rPr>
                <w:rFonts w:eastAsia="等线" w:ascii="Arial" w:cs="Arial" w:hAnsi="Arial"/>
                <w:sz w:val="22"/>
              </w:rPr>
              <w:t>垃圾站异味、蚊虫问题突出；</w:t>
            </w:r>
          </w:p>
          <w:p>
            <w:pPr>
              <w:numPr>
                <w:numId w:val="15"/>
              </w:numPr>
              <w:spacing w:before="120" w:after="120" w:line="288" w:lineRule="auto"/>
              <w:ind w:left="0"/>
              <w:jc w:val="left"/>
            </w:pPr>
            <w:r>
              <w:rPr>
                <w:rFonts w:eastAsia="等线" w:ascii="Arial" w:cs="Arial" w:hAnsi="Arial"/>
                <w:sz w:val="22"/>
              </w:rPr>
              <w:t>大堂、楼道瓷砖等公区清洁维护工作量大。</w:t>
            </w:r>
          </w:p>
        </w:tc>
        <w:tc>
          <w:tcPr>
            <w:tcW w:w="3300" w:type="dxa"/>
            <w:vMerge w:val="restart"/>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sz w:val="22"/>
              </w:rPr>
              <w:t>保洁主管统筹保洁员团队，建立主干道 + 楼栋单元 + 重点区域三级清扫体系；垃圾日产日清（每日 2 次定时清运）；建立清扫标准化作业卡。7月XX日前完成《XX项目保洁作业标准 SOP》，编制各区域清洁时间及频次；实现主干道清扫覆盖率 100%、垃圾日产日清率 100%（含装修垃圾专项）、公共区域可见垃圾停留时间 ≤ 30 分钟、大堂地面光洁度 ≥ 95%（目测无明显污渍）、业主投诉"未及时清扫"≤ 2 次/月。</w:t>
            </w:r>
          </w:p>
          <w:p>
            <w:pPr>
              <w:numPr>
                <w:numId w:val="17"/>
              </w:numPr>
              <w:spacing w:before="120" w:after="120" w:line="288" w:lineRule="auto"/>
              <w:ind w:left="0"/>
              <w:jc w:val="left"/>
            </w:pPr>
            <w:r>
              <w:rPr>
                <w:rFonts w:eastAsia="等线" w:ascii="Arial" w:cs="Arial" w:hAnsi="Arial"/>
                <w:sz w:val="22"/>
              </w:rPr>
              <w:t>保洁主管统筹、运营交付经理关注设备/消杀、客户关系经理负责与业主沟通，推行密闭化 + 及时清运 + 定期消杀 + 物理隔离4 步治理；增加除臭设备；蚊虫消杀（夏季每周 2 次、其他季节每周 1 次），实现垃圾站异味3米外无感知、消杀执行率 100%、业主投诉垃圾站异味≤ 1 次/月、消杀记录完整可追溯 。</w:t>
            </w:r>
          </w:p>
          <w:p>
            <w:pPr>
              <w:numPr>
                <w:numId w:val="18"/>
              </w:numPr>
              <w:spacing w:before="120" w:after="120" w:line="288" w:lineRule="auto"/>
              <w:ind w:left="0"/>
              <w:jc w:val="left"/>
            </w:pPr>
            <w:r>
              <w:rPr>
                <w:rFonts w:eastAsia="等线" w:ascii="Arial" w:cs="Arial" w:hAnsi="Arial"/>
                <w:sz w:val="22"/>
              </w:rPr>
              <w:t>保洁主管执行、 运营交付经理耗材采购， 重构日常保洁、定期工作、专项清洁工作方式，做到材质面的专项清洁及养护；7月XX日前建立重点区域清单，拆分日常保洁、定期工作、专项保洁时间节点与频次。实现项目业主投诉"公区不洁"≤ 1 次/月。</w:t>
            </w:r>
          </w:p>
          <w:p>
            <w:pPr>
              <w:numPr>
                <w:numId w:val="19"/>
              </w:numPr>
              <w:spacing w:before="120" w:after="120" w:line="288" w:lineRule="auto"/>
              <w:ind w:left="0"/>
              <w:jc w:val="left"/>
            </w:pPr>
            <w:r>
              <w:rPr>
                <w:rFonts w:eastAsia="等线" w:ascii="Arial" w:cs="Arial" w:hAnsi="Arial"/>
                <w:sz w:val="22"/>
              </w:rPr>
              <w:t>客户关系经理进行业主沟通、保洁主管负责设施配套、秩序维护主管负责违规处理，文明养宠宣传（宠物便便袋发放 + 宠物厕所设置）；孩童不破坏公区环境引导（暑期活动）；业主志愿者参与环境监督；宠物伤人或随地便溺违规处理。实现宠物便溺投诉环比下降 50%（3 个月内）、业主志愿者参与环境监督≥ 10 人</w:t>
            </w:r>
            <w:r>
              <w:rPr>
                <w:rFonts w:eastAsia="等线" w:ascii="Arial" w:cs="Arial" w:hAnsi="Arial"/>
                <w:b w:val="true"/>
                <w:sz w:val="22"/>
              </w:rPr>
              <w:t>、</w:t>
            </w:r>
            <w:r>
              <w:rPr>
                <w:rFonts w:eastAsia="等线" w:ascii="Arial" w:cs="Arial" w:hAnsi="Arial"/>
                <w:sz w:val="22"/>
              </w:rPr>
              <w:t>文明养宠宣传覆盖率 ≥ 90%、孩童破坏公区设施投诉 ≤ 1 次/季度、业主对保洁满意度评分 ≥ 90 分。</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numPr>
                <w:numId w:val="20"/>
              </w:numPr>
              <w:spacing w:before="120" w:after="120" w:line="288" w:lineRule="auto"/>
              <w:ind w:left="0"/>
              <w:jc w:val="left"/>
            </w:pPr>
            <w:r>
              <w:rPr>
                <w:rFonts w:eastAsia="等线" w:ascii="Arial" w:cs="Arial" w:hAnsi="Arial"/>
                <w:sz w:val="22"/>
              </w:rPr>
              <w:t xml:space="preserve"> 进行定期文明养宠宣传和随时孩童引导；</w:t>
            </w:r>
          </w:p>
          <w:p>
            <w:pPr>
              <w:numPr>
                <w:numId w:val="21"/>
              </w:numPr>
              <w:spacing w:before="120" w:after="120" w:line="288" w:lineRule="auto"/>
              <w:ind w:left="0"/>
              <w:jc w:val="left"/>
            </w:pPr>
            <w:r>
              <w:rPr>
                <w:rFonts w:eastAsia="等线" w:ascii="Arial" w:cs="Arial" w:hAnsi="Arial"/>
                <w:sz w:val="22"/>
              </w:rPr>
              <w:t>垃圾站日常日清并对重点区域专项治理（除味设备使用）；</w:t>
            </w:r>
          </w:p>
          <w:p>
            <w:pPr>
              <w:numPr>
                <w:numId w:val="22"/>
              </w:numPr>
              <w:spacing w:before="120" w:after="120" w:line="288" w:lineRule="auto"/>
              <w:ind w:left="0"/>
              <w:jc w:val="left"/>
            </w:pPr>
            <w:r>
              <w:rPr>
                <w:rFonts w:eastAsia="等线" w:ascii="Arial" w:cs="Arial" w:hAnsi="Arial"/>
                <w:sz w:val="22"/>
              </w:rPr>
              <w:t>智慧化设备升级，落地AI 巡检加以智能设备辅助。</w:t>
            </w: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园艺服务</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园区绿植易被孩童、宠物踩踏破坏；4-9 月病虫害高发，绿植养护难度大；苗木补植、防护工作频繁。</w:t>
            </w:r>
          </w:p>
        </w:tc>
        <w:tc>
          <w:tcPr>
            <w:tcW w:w="3300" w:type="dxa"/>
            <w:vMerge w:val="restart"/>
            <w:tcMar>
              <w:top w:type="dxa" w:w="60"/>
              <w:left w:type="dxa" w:w="120"/>
              <w:bottom w:type="dxa" w:w="30"/>
              <w:right w:type="dxa" w:w="120"/>
            </w:tcMar>
          </w:tcPr>
          <w:p>
            <w:pPr>
              <w:numPr>
                <w:numId w:val="23"/>
              </w:numPr>
              <w:spacing w:before="120" w:after="120" w:line="288" w:lineRule="auto"/>
              <w:ind w:left="0"/>
              <w:jc w:val="left"/>
            </w:pPr>
            <w:r>
              <w:rPr>
                <w:rFonts w:eastAsia="等线" w:ascii="Arial" w:cs="Arial" w:hAnsi="Arial"/>
                <w:sz w:val="22"/>
              </w:rPr>
              <w:t>园艺主管统筹园艺工团队，完善日常养护、修剪、浇水及专修工作计划；推行"绿植健康档案"；建立重点区域清单（主入口/中庭/儿童活动区周边），每月 25 日前园艺主管提交月度养护报告。</w:t>
            </w:r>
          </w:p>
          <w:p>
            <w:pPr>
              <w:numPr>
                <w:numId w:val="24"/>
              </w:numPr>
              <w:spacing w:before="120" w:after="120" w:line="288" w:lineRule="auto"/>
              <w:ind w:left="0"/>
              <w:jc w:val="left"/>
            </w:pPr>
            <w:r>
              <w:rPr>
                <w:rFonts w:eastAsia="等线" w:ascii="Arial" w:cs="Arial" w:hAnsi="Arial"/>
                <w:sz w:val="22"/>
              </w:rPr>
              <w:t>园艺主管执行，运营交付经理药剂采购，客户关系经理温馨提示，推行"预防为主、综合防治"方针；建立病虫害预警机制（每日巡查 + 季节性专项）；推广低毒环保药剂 + 物理防治（粘虫板/诱虫灯）；提前 3 天告知业主喷药安排。病虫害发生率 ≤ 5%、 防治响应时间 ≤ 24 小时（发现即处理）、环保药剂使用率 100%、业主投诉"喷药扰民"≤ 1 次/季度、病虫害防治记录完整可追溯。</w:t>
            </w:r>
          </w:p>
          <w:p>
            <w:pPr>
              <w:numPr>
                <w:numId w:val="25"/>
              </w:numPr>
              <w:spacing w:before="120" w:after="120" w:line="288" w:lineRule="auto"/>
              <w:ind w:left="0"/>
              <w:jc w:val="left"/>
            </w:pPr>
            <w:r>
              <w:rPr>
                <w:rFonts w:eastAsia="等线" w:ascii="Arial" w:cs="Arial" w:hAnsi="Arial"/>
                <w:sz w:val="22"/>
              </w:rPr>
              <w:t>建立"年度补植计划"（按季节/按死亡/按景观需求）；防护设施分级（围栏/支撑/警示牌/隔离带）；推行"补植审批 + 验收 + 养护"三段式管理；每年 3 月、10 月在最佳补植季节（春/秋）进行补种，7月XX日前完成主入口/儿童活动区周边防护设施补强。实现苗木补植成活率 ≥ 95%、补植及时率 100%（发现死亡 7 日内补种）、重点区域防护设施覆盖率 100%、年化苗木损耗率 ≤ 5%。</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定期开展绿植养护、病虫害防治，落实苗木补植计划，增设防护设施保护绿化。</w:t>
            </w: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1530" w:type="dxa"/>
            <w:hMerge w:val="restart"/>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人力资源</w:t>
            </w:r>
          </w:p>
          <w:p>
            <w:pPr>
              <w:spacing w:before="120" w:after="120" w:line="288" w:lineRule="auto"/>
              <w:ind w:left="0"/>
              <w:jc w:val="left"/>
            </w:pPr>
          </w:p>
        </w:tc>
        <w:tc>
          <w:tcPr>
            <w:tcW w:w="810" w:type="dxa"/>
            <w:hMerge w:val="continue"/>
            <w:vMerge w:val="restart"/>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项目地处中心城区，周边消费高，同类物业用工竞争激烈，一线员工流失风险高；岗位多、分工细，人员培训、绩效管理难度大。。</w:t>
            </w:r>
          </w:p>
        </w:tc>
        <w:tc>
          <w:tcPr>
            <w:tcW w:w="3300" w:type="dxa"/>
            <w:vMerge w:val="restart"/>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sz w:val="22"/>
              </w:rPr>
              <w:t>项目经理统筹，集团/区域 HR进行薪酬政策及岗位评估，调研周边 3-5 家同业一线岗位薪资水平（每半年 1 次）；建立符合一线项目的薪酬标准体系；体现员工关怀如：设置员工食堂/宿舍/通勤班车/高温补贴等。</w:t>
            </w:r>
          </w:p>
          <w:p>
            <w:pPr>
              <w:numPr>
                <w:numId w:val="27"/>
              </w:numPr>
              <w:spacing w:before="120" w:after="120" w:line="288" w:lineRule="auto"/>
              <w:ind w:left="0"/>
              <w:jc w:val="left"/>
            </w:pPr>
            <w:r>
              <w:rPr>
                <w:rFonts w:eastAsia="等线" w:ascii="Arial" w:cs="Arial" w:hAnsi="Arial"/>
                <w:sz w:val="22"/>
              </w:rPr>
              <w:t>项目经理统筹，各主责经理对岗位职责进行梳理，各板块经理（运营交付/社区关系）进行全岗位工作分析从岗位职责、工作量到任职资格。推行一人多岗需配套减负措施，如：工具/流程优化/技术替代等。</w:t>
            </w:r>
          </w:p>
          <w:p>
            <w:pPr>
              <w:numPr>
                <w:numId w:val="28"/>
              </w:numPr>
              <w:spacing w:before="120" w:after="120" w:line="288" w:lineRule="auto"/>
              <w:ind w:left="0"/>
              <w:jc w:val="left"/>
            </w:pPr>
            <w:r>
              <w:rPr>
                <w:rFonts w:eastAsia="等线" w:ascii="Arial" w:cs="Arial" w:hAnsi="Arial"/>
                <w:sz w:val="22"/>
              </w:rPr>
              <w:t>项目经理统筹，各板块经理（运营交付/社区关系）进行项目日常业务培训、集团/区域 HR进行通用培训，推行"师徒制"，关键岗位持证上岗（消防/电梯/安全）、四保一服专业技能培训；定期员工座谈会、一对一沟通等形式，员工荣誉激励等。培训考核合格率 ≥ 95%，一线员工年人均培训时长 ≥ 40 小时，员工座谈会出席率 ≥ 80%，员工活动年人均参与 ≥ 6 次。</w:t>
            </w:r>
          </w:p>
        </w:tc>
      </w:tr>
      <w:tr>
        <w:tc>
          <w:tcPr>
            <w:tcW w:w="720" w:type="dxa"/>
            <w:hMerge w:val="restart"/>
            <w:vMerge w:val="continue"/>
            <w:tcMar>
              <w:top w:type="dxa" w:w="60"/>
              <w:left w:type="dxa" w:w="120"/>
              <w:bottom w:type="dxa" w:w="30"/>
              <w:right w:type="dxa" w:w="120"/>
            </w:tcMar>
          </w:tcPr>
          <w:p>
            <w:pPr>
              <w:spacing w:before="120" w:after="120" w:line="288" w:lineRule="auto"/>
              <w:ind w:left="0"/>
              <w:jc w:val="left"/>
            </w:pPr>
          </w:p>
        </w:tc>
        <w:tc>
          <w:tcPr>
            <w:tcW w:w="810" w:type="dxa"/>
            <w:hMerge w:val="continue"/>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对标周边同业薪资与消费水平，岗位标准化探索，给员工减负增效，培训标准化并给员工提供阶梯成长路径，对标行业最佳实践，给员工关怀。</w:t>
            </w:r>
          </w:p>
          <w:p>
            <w:pPr>
              <w:spacing w:before="120" w:after="120" w:line="288" w:lineRule="auto"/>
              <w:ind w:left="0"/>
              <w:jc w:val="left"/>
            </w:pP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1530" w:type="dxa"/>
            <w:hMerge w:val="restart"/>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供应链资源</w:t>
            </w:r>
          </w:p>
          <w:p>
            <w:pPr>
              <w:spacing w:before="120" w:after="120" w:line="288" w:lineRule="auto"/>
              <w:ind w:left="0"/>
              <w:jc w:val="left"/>
            </w:pPr>
          </w:p>
        </w:tc>
        <w:tc>
          <w:tcPr>
            <w:tcW w:w="810" w:type="dxa"/>
            <w:hMerge w:val="continue"/>
            <w:vMerge w:val="restart"/>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保洁、消杀、园艺、设备维保等多类外包服务商并存，服务质量管控、协同配合难度大；各类耗材、药剂、配件品类多，采购与库存管理复杂。</w:t>
            </w:r>
          </w:p>
        </w:tc>
        <w:tc>
          <w:tcPr>
            <w:tcW w:w="33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建立耗材台账，分类管理保洁、园艺、消杀药剂及设备配件；2. 与供应商建立常态化沟通，保障物资及时供应。</w:t>
            </w:r>
          </w:p>
          <w:p>
            <w:pPr>
              <w:spacing w:before="120" w:after="120" w:line="288" w:lineRule="auto"/>
              <w:ind w:left="0"/>
              <w:jc w:val="left"/>
            </w:pPr>
          </w:p>
        </w:tc>
      </w:tr>
      <w:tr>
        <w:tc>
          <w:tcPr>
            <w:tcW w:w="720" w:type="dxa"/>
            <w:hMerge w:val="restart"/>
            <w:vMerge w:val="continue"/>
            <w:tcMar>
              <w:top w:type="dxa" w:w="60"/>
              <w:left w:type="dxa" w:w="120"/>
              <w:bottom w:type="dxa" w:w="30"/>
              <w:right w:type="dxa" w:w="120"/>
            </w:tcMar>
          </w:tcPr>
          <w:p>
            <w:pPr>
              <w:spacing w:before="120" w:after="120" w:line="288" w:lineRule="auto"/>
              <w:ind w:left="0"/>
              <w:jc w:val="left"/>
            </w:pPr>
          </w:p>
        </w:tc>
        <w:tc>
          <w:tcPr>
            <w:tcW w:w="810" w:type="dxa"/>
            <w:hMerge w:val="continue"/>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统一使用公司平台进行采购，并且与供应商进行沟通，说明情况，分类保存统一管理</w:t>
            </w: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1530" w:type="dxa"/>
            <w:hMerge w:val="restart"/>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财务资源</w:t>
            </w:r>
          </w:p>
          <w:p>
            <w:pPr>
              <w:spacing w:before="120" w:after="120" w:line="288" w:lineRule="auto"/>
              <w:ind w:left="0"/>
              <w:jc w:val="left"/>
            </w:pPr>
          </w:p>
        </w:tc>
        <w:tc>
          <w:tcPr>
            <w:tcW w:w="810" w:type="dxa"/>
            <w:hMerge w:val="continue"/>
            <w:vMerge w:val="restart"/>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园区设施老化、维保频次高，环境养护、设备运维成本逐年增加</w:t>
            </w:r>
          </w:p>
        </w:tc>
        <w:tc>
          <w:tcPr>
            <w:tcW w:w="33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按月、按季度公示财务报表、收支明细，做到财务透明；</w:t>
              <w:br/>
            </w:r>
            <w:r>
              <w:rPr>
                <w:rFonts w:eastAsia="等线" w:ascii="Arial" w:cs="Arial" w:hAnsi="Arial"/>
                <w:sz w:val="22"/>
              </w:rPr>
              <w:t>2.落实公共能耗管控措施，降低水电等运营成本。</w:t>
            </w:r>
          </w:p>
        </w:tc>
      </w:tr>
      <w:tr>
        <w:tc>
          <w:tcPr>
            <w:tcW w:w="720" w:type="dxa"/>
            <w:hMerge w:val="restart"/>
            <w:vMerge w:val="continue"/>
            <w:tcMar>
              <w:top w:type="dxa" w:w="60"/>
              <w:left w:type="dxa" w:w="120"/>
              <w:bottom w:type="dxa" w:w="30"/>
              <w:right w:type="dxa" w:w="120"/>
            </w:tcMar>
          </w:tcPr>
          <w:p>
            <w:pPr>
              <w:spacing w:before="120" w:after="120" w:line="288" w:lineRule="auto"/>
              <w:ind w:left="0"/>
              <w:jc w:val="left"/>
            </w:pPr>
          </w:p>
        </w:tc>
        <w:tc>
          <w:tcPr>
            <w:tcW w:w="810" w:type="dxa"/>
            <w:hMerge w:val="continue"/>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规范财务公示制度，强化费用催缴，推行节能管理控制运营成本。</w:t>
            </w: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1530" w:type="dxa"/>
            <w:hMerge w:val="restart"/>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其他</w:t>
            </w:r>
          </w:p>
          <w:p>
            <w:pPr>
              <w:spacing w:before="120" w:after="120" w:line="288" w:lineRule="auto"/>
              <w:ind w:left="0"/>
              <w:jc w:val="left"/>
            </w:pPr>
          </w:p>
        </w:tc>
        <w:tc>
          <w:tcPr>
            <w:tcW w:w="810" w:type="dxa"/>
            <w:hMerge w:val="continue"/>
            <w:vMerge w:val="restart"/>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小区年限过久，现集中装修管控困难；小区内业主需求多元化</w:t>
            </w:r>
          </w:p>
        </w:tc>
        <w:tc>
          <w:tcPr>
            <w:tcW w:w="33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严格装修巡查，提前告知搭建禁令，杜绝违章改造；2. 每年开展不少于 2 次消防演练，配齐应急物资，提升突发事件处置能力；3. 每年组织不少于 6 场社区活动，以休闲、家庭类活动为主，丰富社区生活。</w:t>
            </w:r>
          </w:p>
        </w:tc>
      </w:tr>
      <w:tr>
        <w:tc>
          <w:tcPr>
            <w:tcW w:w="720" w:type="dxa"/>
            <w:hMerge w:val="restart"/>
            <w:vMerge w:val="continue"/>
            <w:tcMar>
              <w:top w:type="dxa" w:w="60"/>
              <w:left w:type="dxa" w:w="120"/>
              <w:bottom w:type="dxa" w:w="30"/>
              <w:right w:type="dxa" w:w="120"/>
            </w:tcMar>
          </w:tcPr>
          <w:p>
            <w:pPr>
              <w:spacing w:before="120" w:after="120" w:line="288" w:lineRule="auto"/>
              <w:ind w:left="0"/>
              <w:jc w:val="left"/>
            </w:pPr>
          </w:p>
        </w:tc>
        <w:tc>
          <w:tcPr>
            <w:tcW w:w="810" w:type="dxa"/>
            <w:hMerge w:val="continue"/>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配合社区街道进行管控装修作业，结合业主喜好策划社区活动。</w:t>
            </w:r>
          </w:p>
        </w:tc>
        <w:tc>
          <w:tcPr>
            <w:tcW w:w="3300" w:type="dxa"/>
            <w:vMerge w:val="continue"/>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893584">
    <w:lvl>
      <w:start w:val="1"/>
      <w:numFmt w:val="decimal"/>
      <w:suff w:val="tab"/>
      <w:lvlText w:val="%1."/>
      <w:rPr>
        <w:color w:val="3370ff"/>
      </w:rPr>
    </w:lvl>
  </w:abstractNum>
  <w:abstractNum w:abstractNumId="1893585">
    <w:lvl>
      <w:start w:val="2"/>
      <w:numFmt w:val="decimal"/>
      <w:suff w:val="tab"/>
      <w:lvlText w:val="%1."/>
      <w:rPr>
        <w:color w:val="3370ff"/>
      </w:rPr>
    </w:lvl>
  </w:abstractNum>
  <w:abstractNum w:abstractNumId="1893586">
    <w:lvl>
      <w:start w:val="3"/>
      <w:numFmt w:val="decimal"/>
      <w:suff w:val="tab"/>
      <w:lvlText w:val="%1."/>
      <w:rPr>
        <w:color w:val="3370ff"/>
      </w:rPr>
    </w:lvl>
  </w:abstractNum>
  <w:abstractNum w:abstractNumId="1893587">
    <w:lvl>
      <w:start w:val="4"/>
      <w:numFmt w:val="decimal"/>
      <w:suff w:val="tab"/>
      <w:lvlText w:val="%1."/>
      <w:rPr>
        <w:color w:val="3370ff"/>
      </w:rPr>
    </w:lvl>
  </w:abstractNum>
  <w:abstractNum w:abstractNumId="1893588">
    <w:lvl>
      <w:start w:val="1"/>
      <w:numFmt w:val="decimal"/>
      <w:suff w:val="tab"/>
      <w:lvlText w:val="%1."/>
      <w:rPr>
        <w:color w:val="3370ff"/>
      </w:rPr>
    </w:lvl>
  </w:abstractNum>
  <w:abstractNum w:abstractNumId="1893589">
    <w:lvl>
      <w:start w:val="2"/>
      <w:numFmt w:val="decimal"/>
      <w:suff w:val="tab"/>
      <w:lvlText w:val="%1."/>
      <w:rPr>
        <w:color w:val="3370ff"/>
      </w:rPr>
    </w:lvl>
  </w:abstractNum>
  <w:abstractNum w:abstractNumId="1893590">
    <w:lvl>
      <w:start w:val="1"/>
      <w:numFmt w:val="decimal"/>
      <w:suff w:val="tab"/>
      <w:lvlText w:val="%1."/>
      <w:rPr>
        <w:color w:val="3370ff"/>
      </w:rPr>
    </w:lvl>
  </w:abstractNum>
  <w:abstractNum w:abstractNumId="1893591">
    <w:lvl>
      <w:start w:val="2"/>
      <w:numFmt w:val="decimal"/>
      <w:suff w:val="tab"/>
      <w:lvlText w:val="%1."/>
      <w:rPr>
        <w:color w:val="3370ff"/>
      </w:rPr>
    </w:lvl>
  </w:abstractNum>
  <w:abstractNum w:abstractNumId="1893592">
    <w:lvl>
      <w:start w:val="3"/>
      <w:numFmt w:val="decimal"/>
      <w:suff w:val="tab"/>
      <w:lvlText w:val="%1."/>
      <w:rPr>
        <w:color w:val="3370ff"/>
      </w:rPr>
    </w:lvl>
  </w:abstractNum>
  <w:abstractNum w:abstractNumId="1893593">
    <w:lvl>
      <w:start w:val="1"/>
      <w:numFmt w:val="decimal"/>
      <w:suff w:val="tab"/>
      <w:lvlText w:val="%1."/>
      <w:rPr>
        <w:color w:val="3370ff"/>
      </w:rPr>
    </w:lvl>
  </w:abstractNum>
  <w:abstractNum w:abstractNumId="1893594">
    <w:lvl>
      <w:start w:val="2"/>
      <w:numFmt w:val="decimal"/>
      <w:suff w:val="tab"/>
      <w:lvlText w:val="%1."/>
      <w:rPr>
        <w:color w:val="3370ff"/>
      </w:rPr>
    </w:lvl>
  </w:abstractNum>
  <w:abstractNum w:abstractNumId="1893595">
    <w:lvl>
      <w:start w:val="3"/>
      <w:numFmt w:val="decimal"/>
      <w:suff w:val="tab"/>
      <w:lvlText w:val="%1."/>
      <w:rPr>
        <w:color w:val="3370ff"/>
      </w:rPr>
    </w:lvl>
  </w:abstractNum>
  <w:abstractNum w:abstractNumId="1893596">
    <w:lvl>
      <w:start w:val="1"/>
      <w:numFmt w:val="decimal"/>
      <w:suff w:val="tab"/>
      <w:lvlText w:val="%1."/>
      <w:rPr>
        <w:color w:val="3370ff"/>
      </w:rPr>
    </w:lvl>
  </w:abstractNum>
  <w:abstractNum w:abstractNumId="1893597">
    <w:lvl>
      <w:start w:val="2"/>
      <w:numFmt w:val="decimal"/>
      <w:suff w:val="tab"/>
      <w:lvlText w:val="%1."/>
      <w:rPr>
        <w:color w:val="3370ff"/>
      </w:rPr>
    </w:lvl>
  </w:abstractNum>
  <w:abstractNum w:abstractNumId="1893598">
    <w:lvl>
      <w:start w:val="3"/>
      <w:numFmt w:val="decimal"/>
      <w:suff w:val="tab"/>
      <w:lvlText w:val="%1."/>
      <w:rPr>
        <w:color w:val="3370ff"/>
      </w:rPr>
    </w:lvl>
  </w:abstractNum>
  <w:abstractNum w:abstractNumId="1893599">
    <w:lvl>
      <w:start w:val="1"/>
      <w:numFmt w:val="decimal"/>
      <w:suff w:val="tab"/>
      <w:lvlText w:val="%1."/>
      <w:rPr>
        <w:color w:val="3370ff"/>
      </w:rPr>
    </w:lvl>
  </w:abstractNum>
  <w:abstractNum w:abstractNumId="1893600">
    <w:lvl>
      <w:start w:val="2"/>
      <w:numFmt w:val="decimal"/>
      <w:suff w:val="tab"/>
      <w:lvlText w:val="%1."/>
      <w:rPr>
        <w:color w:val="3370ff"/>
      </w:rPr>
    </w:lvl>
  </w:abstractNum>
  <w:abstractNum w:abstractNumId="1893601">
    <w:lvl>
      <w:start w:val="3"/>
      <w:numFmt w:val="decimal"/>
      <w:suff w:val="tab"/>
      <w:lvlText w:val="%1."/>
      <w:rPr>
        <w:color w:val="3370ff"/>
      </w:rPr>
    </w:lvl>
  </w:abstractNum>
  <w:abstractNum w:abstractNumId="1893602">
    <w:lvl>
      <w:start w:val="4"/>
      <w:numFmt w:val="decimal"/>
      <w:suff w:val="tab"/>
      <w:lvlText w:val="%1."/>
      <w:rPr>
        <w:color w:val="3370ff"/>
      </w:rPr>
    </w:lvl>
  </w:abstractNum>
  <w:abstractNum w:abstractNumId="1893603">
    <w:lvl>
      <w:start w:val="1"/>
      <w:numFmt w:val="decimal"/>
      <w:suff w:val="tab"/>
      <w:lvlText w:val="%1."/>
      <w:rPr>
        <w:color w:val="3370ff"/>
      </w:rPr>
    </w:lvl>
  </w:abstractNum>
  <w:abstractNum w:abstractNumId="1893604">
    <w:lvl>
      <w:start w:val="2"/>
      <w:numFmt w:val="decimal"/>
      <w:suff w:val="tab"/>
      <w:lvlText w:val="%1."/>
      <w:rPr>
        <w:color w:val="3370ff"/>
      </w:rPr>
    </w:lvl>
  </w:abstractNum>
  <w:abstractNum w:abstractNumId="1893605">
    <w:lvl>
      <w:start w:val="3"/>
      <w:numFmt w:val="decimal"/>
      <w:suff w:val="tab"/>
      <w:lvlText w:val="%1."/>
      <w:rPr>
        <w:color w:val="3370ff"/>
      </w:rPr>
    </w:lvl>
  </w:abstractNum>
  <w:abstractNum w:abstractNumId="1893606">
    <w:lvl>
      <w:start w:val="1"/>
      <w:numFmt w:val="decimal"/>
      <w:suff w:val="tab"/>
      <w:lvlText w:val="%1."/>
      <w:rPr>
        <w:color w:val="3370ff"/>
      </w:rPr>
    </w:lvl>
  </w:abstractNum>
  <w:abstractNum w:abstractNumId="1893607">
    <w:lvl>
      <w:start w:val="2"/>
      <w:numFmt w:val="decimal"/>
      <w:suff w:val="tab"/>
      <w:lvlText w:val="%1."/>
      <w:rPr>
        <w:color w:val="3370ff"/>
      </w:rPr>
    </w:lvl>
  </w:abstractNum>
  <w:abstractNum w:abstractNumId="1893608">
    <w:lvl>
      <w:start w:val="3"/>
      <w:numFmt w:val="decimal"/>
      <w:suff w:val="tab"/>
      <w:lvlText w:val="%1."/>
      <w:rPr>
        <w:color w:val="3370ff"/>
      </w:rPr>
    </w:lvl>
  </w:abstractNum>
  <w:abstractNum w:abstractNumId="1893609">
    <w:lvl>
      <w:start w:val="1"/>
      <w:numFmt w:val="decimal"/>
      <w:suff w:val="tab"/>
      <w:lvlText w:val="%1."/>
      <w:rPr>
        <w:color w:val="3370ff"/>
      </w:rPr>
    </w:lvl>
  </w:abstractNum>
  <w:abstractNum w:abstractNumId="1893610">
    <w:lvl>
      <w:start w:val="2"/>
      <w:numFmt w:val="decimal"/>
      <w:suff w:val="tab"/>
      <w:lvlText w:val="%1."/>
      <w:rPr>
        <w:color w:val="3370ff"/>
      </w:rPr>
    </w:lvl>
  </w:abstractNum>
  <w:abstractNum w:abstractNumId="1893611">
    <w:lvl>
      <w:start w:val="3"/>
      <w:numFmt w:val="decimal"/>
      <w:suff w:val="tab"/>
      <w:lvlText w:val="%1."/>
      <w:rPr>
        <w:color w:val="3370ff"/>
      </w:rPr>
    </w:lvl>
  </w:abstractNum>
  <w:num w:numId="1">
    <w:abstractNumId w:val="1893584"/>
  </w:num>
  <w:num w:numId="2">
    <w:abstractNumId w:val="1893585"/>
  </w:num>
  <w:num w:numId="3">
    <w:abstractNumId w:val="1893586"/>
  </w:num>
  <w:num w:numId="4">
    <w:abstractNumId w:val="1893587"/>
  </w:num>
  <w:num w:numId="5">
    <w:abstractNumId w:val="1893588"/>
  </w:num>
  <w:num w:numId="6">
    <w:abstractNumId w:val="1893589"/>
  </w:num>
  <w:num w:numId="7">
    <w:abstractNumId w:val="1893590"/>
  </w:num>
  <w:num w:numId="8">
    <w:abstractNumId w:val="1893591"/>
  </w:num>
  <w:num w:numId="9">
    <w:abstractNumId w:val="1893592"/>
  </w:num>
  <w:num w:numId="10">
    <w:abstractNumId w:val="1893593"/>
  </w:num>
  <w:num w:numId="11">
    <w:abstractNumId w:val="1893594"/>
  </w:num>
  <w:num w:numId="12">
    <w:abstractNumId w:val="1893595"/>
  </w:num>
  <w:num w:numId="13">
    <w:abstractNumId w:val="1893596"/>
  </w:num>
  <w:num w:numId="14">
    <w:abstractNumId w:val="1893597"/>
  </w:num>
  <w:num w:numId="15">
    <w:abstractNumId w:val="1893598"/>
  </w:num>
  <w:num w:numId="16">
    <w:abstractNumId w:val="1893599"/>
  </w:num>
  <w:num w:numId="17">
    <w:abstractNumId w:val="1893600"/>
  </w:num>
  <w:num w:numId="18">
    <w:abstractNumId w:val="1893601"/>
  </w:num>
  <w:num w:numId="19">
    <w:abstractNumId w:val="1893602"/>
  </w:num>
  <w:num w:numId="20">
    <w:abstractNumId w:val="1893603"/>
  </w:num>
  <w:num w:numId="21">
    <w:abstractNumId w:val="1893604"/>
  </w:num>
  <w:num w:numId="22">
    <w:abstractNumId w:val="1893605"/>
  </w:num>
  <w:num w:numId="23">
    <w:abstractNumId w:val="1893606"/>
  </w:num>
  <w:num w:numId="24">
    <w:abstractNumId w:val="1893607"/>
  </w:num>
  <w:num w:numId="25">
    <w:abstractNumId w:val="1893608"/>
  </w:num>
  <w:num w:numId="26">
    <w:abstractNumId w:val="1893609"/>
  </w:num>
  <w:num w:numId="27">
    <w:abstractNumId w:val="1893610"/>
  </w:num>
  <w:num w:numId="28">
    <w:abstractNumId w:val="189361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2026-10-10T02:06:56Z</dcterms:created>
  <dc:creator>Apache POI</dc:creator>
</cp:coreProperties>
</file>