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4.1 物业服务定位、愿景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服务定位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智慧</w:t>
      </w:r>
      <w:r>
        <w:rPr>
          <w:rFonts w:eastAsia="等线" w:ascii="Arial" w:cs="Arial" w:hAnsi="Arial"/>
          <w:sz w:val="22"/>
        </w:rPr>
        <w:t>—— 以数字化平台赋能高效管理，智能安防全天候守护，报修缴费一键直达；既助力住房保障部门实现精细化监管，又让租户享受便捷省心的服务体验。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温馨</w:t>
      </w:r>
      <w:r>
        <w:rPr>
          <w:rFonts w:eastAsia="等线" w:ascii="Arial" w:cs="Arial" w:hAnsi="Arial"/>
          <w:sz w:val="22"/>
        </w:rPr>
        <w:t>—— 聚焦公租房民生属性，为老年住户、新市民、青年人才提供贴心关怀；便民服务常态化，邻里活动暖人心，让保障政策有力度，社区生活有温度，住户安居更安心。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共治</w:t>
      </w:r>
      <w:r>
        <w:rPr>
          <w:rFonts w:eastAsia="等线" w:ascii="Arial" w:cs="Arial" w:hAnsi="Arial"/>
          <w:sz w:val="22"/>
        </w:rPr>
        <w:t>—— 搭建业委会、社区、物业、住户方联动平台，诉求快速响应，议事公开透明；政府治理有抓手，住户参与有渠道，共建共治共享美好社区，群众满意度持续领先。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绿色</w:t>
      </w:r>
      <w:r>
        <w:rPr>
          <w:rFonts w:eastAsia="等线" w:ascii="Arial" w:cs="Arial" w:hAnsi="Arial"/>
          <w:sz w:val="22"/>
        </w:rPr>
        <w:t>—— 严守保障房资产品质，精细化养护公共设施；推行绿色保洁与节能管理，严控居住成本，营造整洁舒适、空气清新的社区环境，让公租房住得安心、住得舒心。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服务愿景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3~5 年内将 "凤凰英荟城" 打造成为 "中国超大型住宅社区现代化治理首选"。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2026-10-10T02:07:13Z</dcterms:created>
  <dc:creator>Apache POI</dc:creator>
</cp:coreProperties>
</file>