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 xml:space="preserve">1.1.3.13-001 </w:t>
      </w:r>
      <w:r>
        <w:rPr>
          <w:rFonts w:eastAsia="等线" w:ascii="Arial" w:cs="Arial" w:hAnsi="Arial"/>
          <w:b w:val="true"/>
          <w:sz w:val="52"/>
        </w:rPr>
        <w:t xml:space="preserve">秩序服务规范 </w:t>
      </w:r>
      <w:r>
        <w:rPr>
          <w:rFonts w:eastAsia="等线" w:ascii="Arial" w:cs="Arial" w:hAnsi="Arial"/>
          <w:b w:val="true"/>
          <w:sz w:val="52"/>
        </w:rPr>
        <w:t>CCPG/B-1.1.3.1</w:t>
      </w:r>
      <w:r>
        <w:rPr>
          <w:rFonts w:eastAsia="等线" w:ascii="Arial" w:cs="Arial" w:hAnsi="Arial"/>
          <w:b w:val="true"/>
          <w:sz w:val="52"/>
        </w:rPr>
        <w:t>3</w:t>
      </w:r>
      <w:r>
        <w:rPr>
          <w:rFonts w:eastAsia="等线" w:ascii="Arial" w:cs="Arial" w:hAnsi="Arial"/>
          <w:b w:val="true"/>
          <w:sz w:val="52"/>
        </w:rPr>
        <w:t>-B-001 F/0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15"/>
        <w:gridCol w:w="2700"/>
        <w:gridCol w:w="570"/>
        <w:gridCol w:w="570"/>
        <w:gridCol w:w="3210"/>
      </w:tblGrid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文件名称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 秩序服务规范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文件编号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CCPG/B-1.1.3.13-B-001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实施日期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版本/改次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F/</w:t>
            </w:r>
            <w:r>
              <w:rPr>
                <w:rFonts w:eastAsia="等线" w:ascii="Arial" w:cs="Arial" w:hAnsi="Arial"/>
                <w:sz w:val="22"/>
              </w:rPr>
              <w:t>0</w:t>
            </w:r>
          </w:p>
        </w:tc>
        <w:tc>
          <w:tcPr>
            <w:tcW w:w="114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文件有效期</w:t>
            </w: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2028/05/01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组织层级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集团</w:t>
            </w:r>
          </w:p>
        </w:tc>
        <w:tc>
          <w:tcPr>
            <w:tcW w:w="570" w:type="dxa"/>
            <w:v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流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程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架</w:t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构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L1级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1.0服务提供—价值创造过程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文件层级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规范性文件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L2级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1.1公域服务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color w:val="1f2329"/>
                <w:sz w:val="22"/>
              </w:rPr>
              <w:t>编写/修订人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@周易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L3级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1.1.3 秩序服务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编写/修订部门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秩序环境事业部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L4级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1.1.3.10 秩序服务规范</w:t>
            </w: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批准人</w:t>
            </w:r>
          </w:p>
        </w:tc>
        <w:tc>
          <w:tcPr>
            <w:tcW w:w="27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3370ff"/>
                <w:sz w:val="22"/>
              </w:rPr>
              <w:t>@董庆强</w:t>
            </w:r>
          </w:p>
        </w:tc>
        <w:tc>
          <w:tcPr>
            <w:tcW w:w="570" w:type="dxa"/>
            <w:v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L5级</w:t>
            </w:r>
          </w:p>
        </w:tc>
        <w:tc>
          <w:tcPr>
            <w:tcW w:w="32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1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修订记录</w:t>
            </w:r>
          </w:p>
        </w:tc>
        <w:tc>
          <w:tcPr>
            <w:tcW w:w="7050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826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*本体系文件已正式发布在长城物业知识库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  <w:u w:val="single"/>
                </w:rPr>
                <w:t>长城物业运营体系管理文件</w:t>
              </w:r>
            </w:hyperlink>
          </w:p>
        </w:tc>
        <w:tc>
          <w:tcPr>
            <w:tcW w:w="270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7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210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color w:val="3370ff"/>
          <w:sz w:val="36"/>
        </w:rPr>
        <w:t xml:space="preserve">1. </w:t>
      </w:r>
      <w:r>
        <w:rPr>
          <w:rFonts w:eastAsia="等线" w:ascii="Arial" w:cs="Arial" w:hAnsi="Arial"/>
          <w:b w:val="true"/>
          <w:sz w:val="36"/>
        </w:rPr>
        <w:t>目的</w:t>
      </w:r>
      <w:bookmarkEnd w:id="0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规范物业服务区秩序服务的作业质量标准。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color w:val="3370ff"/>
          <w:sz w:val="36"/>
        </w:rPr>
        <w:t xml:space="preserve">2. </w:t>
      </w:r>
      <w:r>
        <w:rPr>
          <w:rFonts w:eastAsia="等线" w:ascii="Arial" w:cs="Arial" w:hAnsi="Arial"/>
          <w:b w:val="true"/>
          <w:sz w:val="36"/>
        </w:rPr>
        <w:t>适用范围</w:t>
      </w:r>
      <w:bookmarkEnd w:id="1"/>
    </w:p>
    <w:p>
      <w:pPr>
        <w:spacing w:before="120" w:after="120" w:line="288" w:lineRule="auto"/>
        <w:ind w:left="0" w:firstLine="420"/>
        <w:jc w:val="left"/>
      </w:pPr>
      <w:r>
        <w:rPr>
          <w:rFonts w:eastAsia="等线" w:ascii="Arial" w:cs="Arial" w:hAnsi="Arial"/>
          <w:sz w:val="22"/>
        </w:rPr>
        <w:t>适用于长城物业项目秩序服务的管理工作。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color w:val="3370ff"/>
          <w:sz w:val="36"/>
        </w:rPr>
        <w:t xml:space="preserve">3. </w:t>
      </w:r>
      <w:r>
        <w:rPr>
          <w:rFonts w:eastAsia="等线" w:ascii="Arial" w:cs="Arial" w:hAnsi="Arial"/>
          <w:b w:val="true"/>
          <w:sz w:val="36"/>
        </w:rPr>
        <w:t>总体要求</w:t>
      </w:r>
      <w:bookmarkEnd w:id="2"/>
    </w:p>
    <w:p>
      <w:pPr>
        <w:numPr>
          <w:numId w:val="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秩序服务应杜绝因管理不善造成的伤人事件及财产损失。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秩序服务人员应持证上岗，无犯罪记录，并定期接受军事化训练。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秩序服务的所有标识应符合公司《VI系统分类管理要求》的要求。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秩序服务人员对关键客户熟悉率应达到100％。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秩序服务的所有人员应执行公司《服务礼仪规范》的要求。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秩序服务资料应符合法律法规及行业标准要求，完整存档。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秩序服务应制定各项应急预案并定期演练，演练宜邀约客户参与；突发事件处置后，应向客户反馈结果。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color w:val="3370ff"/>
          <w:sz w:val="36"/>
        </w:rPr>
        <w:t xml:space="preserve">4. </w:t>
      </w:r>
      <w:r>
        <w:rPr>
          <w:rFonts w:eastAsia="等线" w:ascii="Arial" w:cs="Arial" w:hAnsi="Arial"/>
          <w:b w:val="true"/>
          <w:sz w:val="36"/>
        </w:rPr>
        <w:t>分类要求</w:t>
      </w:r>
      <w:bookmarkEnd w:id="3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color w:val="3370ff"/>
          <w:sz w:val="32"/>
        </w:rPr>
        <w:t xml:space="preserve">4.1 </w:t>
      </w:r>
      <w:r>
        <w:rPr>
          <w:rFonts w:eastAsia="等线" w:ascii="Arial" w:cs="Arial" w:hAnsi="Arial"/>
          <w:b w:val="true"/>
          <w:sz w:val="32"/>
        </w:rPr>
        <w:t>安全秩序服务</w:t>
      </w:r>
      <w:bookmarkEnd w:id="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出入口服务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应有效管控外来人员及物品出入，对来访人员执行询查登记。</w:t>
            </w:r>
          </w:p>
          <w:p>
            <w:pPr>
              <w:numPr>
                <w:numId w:val="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应及时通知巡逻岗位外来人员到访信息。</w:t>
            </w:r>
          </w:p>
          <w:p>
            <w:pPr>
              <w:numPr>
                <w:numId w:val="1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大宗物品搬出时应与物业服务中心确认后放行。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巡逻服务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应至少每2小时对责任区域巡视一遍，节假日及重点区域应增加巡查频次。</w:t>
            </w:r>
          </w:p>
          <w:p>
            <w:pPr>
              <w:numPr>
                <w:numId w:val="1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应对危险场所、施工场地等风险防控区域设置警示标识与隔离装置。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公共秩序维护服务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应确保车辆按规定停放、装修垃圾分类堆放、公共部位畅通（无占用及乱堆放乱乱摆卖等现象）、噪音符合要求。</w:t>
            </w:r>
          </w:p>
          <w:p>
            <w:pPr>
              <w:numPr>
                <w:numId w:val="1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应杜绝因管理不善造成的物业本体物件坠落。</w:t>
            </w:r>
          </w:p>
          <w:p>
            <w:pPr>
              <w:numPr>
                <w:numId w:val="1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应维护重大活动秩序，遇突发状况及时处置。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技防与标识服务</w:t>
            </w:r>
          </w:p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应在重点区域安装并确保监控系统24小时正常运行。</w:t>
            </w:r>
          </w:p>
          <w:p>
            <w:pPr>
              <w:numPr>
                <w:numId w:val="1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所有安全设施设备均应完好，并满足设计功能要求。</w:t>
            </w:r>
          </w:p>
          <w:p>
            <w:pPr>
              <w:numPr>
                <w:numId w:val="1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应设置完善的安全标识。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color w:val="3370ff"/>
          <w:sz w:val="32"/>
        </w:rPr>
        <w:t xml:space="preserve">4.2 </w:t>
      </w:r>
      <w:r>
        <w:rPr>
          <w:rFonts w:eastAsia="等线" w:ascii="Arial" w:cs="Arial" w:hAnsi="Arial"/>
          <w:b w:val="true"/>
          <w:sz w:val="32"/>
        </w:rPr>
        <w:t>消防安全服务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组织与责任服务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应成立志愿消防组织，明确分工，并公示架构与职责。</w:t>
            </w:r>
          </w:p>
          <w:p>
            <w:pPr>
              <w:numPr>
                <w:numId w:val="2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应建立各层级消防安全责任清单。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消防设施设备均应完好，并满足设计功能要求。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消防设施设备应定期检查、测试与维护。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防火检查服务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应定期巡查用火用电安全，确保消防通道畅通，杜绝违规存放物品与燃放烟花。</w:t>
            </w:r>
          </w:p>
          <w:p>
            <w:pPr>
              <w:numPr>
                <w:numId w:val="2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应建立动火作业审批与监护制度。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宣传与培训服务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物业项目应定期组织消防知识的宣传活动，提高客户消防意识。</w:t>
            </w:r>
          </w:p>
          <w:p>
            <w:pPr>
              <w:numPr>
                <w:numId w:val="2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秩序维护人员应熟练应用消防设施设备，定期进行实操培训。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演练与应急服务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应定期组织消防宣传、培训与演练。</w:t>
            </w:r>
          </w:p>
          <w:p>
            <w:pPr>
              <w:numPr>
                <w:numId w:val="2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应制定消防安全预案，火灾发生时按法规处置。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color w:val="3370ff"/>
          <w:sz w:val="32"/>
        </w:rPr>
        <w:t xml:space="preserve">4.3 </w:t>
      </w:r>
      <w:r>
        <w:rPr>
          <w:rFonts w:eastAsia="等线" w:ascii="Arial" w:cs="Arial" w:hAnsi="Arial"/>
          <w:b w:val="true"/>
          <w:sz w:val="32"/>
        </w:rPr>
        <w:t>装修管理服务</w:t>
      </w:r>
      <w:bookmarkEnd w:id="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410"/>
        <w:gridCol w:w="1215"/>
        <w:gridCol w:w="5655"/>
      </w:tblGrid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hMerge w:val="restart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装修管理服务</w:t>
            </w:r>
          </w:p>
        </w:tc>
        <w:tc>
          <w:tcPr>
            <w:tcW w:w="1215" w:type="dxa"/>
            <w:hMerge w:val="continue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2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应规范装修垃圾堆放、人员出入、材料运输与作业时间。</w:t>
            </w:r>
          </w:p>
          <w:p>
            <w:pPr>
              <w:numPr>
                <w:numId w:val="3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应定期实施装修现场监管。</w:t>
            </w:r>
          </w:p>
          <w:p>
            <w:pPr>
              <w:numPr>
                <w:numId w:val="3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应对装修违规现象进行告知、劝阻、上报。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color w:val="3370ff"/>
          <w:sz w:val="32"/>
        </w:rPr>
        <w:t xml:space="preserve">4.4 </w:t>
      </w:r>
      <w:r>
        <w:rPr>
          <w:rFonts w:eastAsia="等线" w:ascii="Arial" w:cs="Arial" w:hAnsi="Arial"/>
          <w:b w:val="true"/>
          <w:sz w:val="32"/>
        </w:rPr>
        <w:t>停车秩序服务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出入与引导服务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应保障车辆（含非机动车）进出有序通畅，高峰期有专人引导至指定区域。</w:t>
            </w:r>
          </w:p>
          <w:p>
            <w:pPr>
              <w:numPr>
                <w:numId w:val="3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应进行车辆（含非机动车）停放引导与外观及违规情况检查，发现异常（如非机动车进入电梯/楼道及车辆肇事等）应在30分钟内处理并知会车主。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设施运维服务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4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停车场设施设备均应完好，并满足设计功能要求。</w:t>
            </w:r>
          </w:p>
          <w:p>
            <w:pPr>
              <w:numPr>
                <w:numId w:val="35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停车场标识标线清晰，保证有效指引。</w:t>
            </w:r>
          </w:p>
          <w:p>
            <w:pPr>
              <w:numPr>
                <w:numId w:val="36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道闸故障时应有应急预案，并设置提示。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color w:val="3370ff"/>
          <w:sz w:val="32"/>
        </w:rPr>
        <w:t xml:space="preserve">4.5 </w:t>
      </w:r>
      <w:r>
        <w:rPr>
          <w:rFonts w:eastAsia="等线" w:ascii="Arial" w:cs="Arial" w:hAnsi="Arial"/>
          <w:b w:val="true"/>
          <w:sz w:val="32"/>
        </w:rPr>
        <w:t>应急管理服务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625"/>
        <w:gridCol w:w="5655"/>
      </w:tblGrid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 w:firstLine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类别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要求</w:t>
            </w:r>
          </w:p>
        </w:tc>
      </w:tr>
      <w:tr>
        <w:tc>
          <w:tcPr>
            <w:tcW w:w="26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应急管理服务</w:t>
            </w:r>
          </w:p>
        </w:tc>
        <w:tc>
          <w:tcPr>
            <w:tcW w:w="56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37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应急预防设施设备均应完好，并满足设计功能。</w:t>
            </w:r>
          </w:p>
          <w:p>
            <w:pPr>
              <w:numPr>
                <w:numId w:val="38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应识别危险源并制定控制预案。</w:t>
            </w:r>
          </w:p>
          <w:p>
            <w:pPr>
              <w:numPr>
                <w:numId w:val="39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应根据季节与天气采取预防措施。</w:t>
            </w:r>
          </w:p>
          <w:p>
            <w:pPr>
              <w:numPr>
                <w:numId w:val="40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突发事件应及时响应，并按预案要求进行处置。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855213">
    <w:lvl>
      <w:start w:val="1"/>
      <w:numFmt w:val="lowerLetter"/>
      <w:suff w:val="tab"/>
      <w:lvlText w:val="%1."/>
      <w:rPr>
        <w:color w:val="3370ff"/>
      </w:rPr>
    </w:lvl>
  </w:abstractNum>
  <w:abstractNum w:abstractNumId="855214">
    <w:lvl>
      <w:start w:val="2"/>
      <w:numFmt w:val="lowerLetter"/>
      <w:suff w:val="tab"/>
      <w:lvlText w:val="%1."/>
      <w:rPr>
        <w:color w:val="3370ff"/>
      </w:rPr>
    </w:lvl>
  </w:abstractNum>
  <w:abstractNum w:abstractNumId="855215">
    <w:lvl>
      <w:start w:val="3"/>
      <w:numFmt w:val="lowerLetter"/>
      <w:suff w:val="tab"/>
      <w:lvlText w:val="%1."/>
      <w:rPr>
        <w:color w:val="3370ff"/>
      </w:rPr>
    </w:lvl>
  </w:abstractNum>
  <w:abstractNum w:abstractNumId="855216">
    <w:lvl>
      <w:start w:val="4"/>
      <w:numFmt w:val="lowerLetter"/>
      <w:suff w:val="tab"/>
      <w:lvlText w:val="%1."/>
      <w:rPr>
        <w:color w:val="3370ff"/>
      </w:rPr>
    </w:lvl>
  </w:abstractNum>
  <w:abstractNum w:abstractNumId="855217">
    <w:lvl>
      <w:start w:val="5"/>
      <w:numFmt w:val="lowerLetter"/>
      <w:suff w:val="tab"/>
      <w:lvlText w:val="%1."/>
      <w:rPr>
        <w:color w:val="3370ff"/>
      </w:rPr>
    </w:lvl>
  </w:abstractNum>
  <w:abstractNum w:abstractNumId="855218">
    <w:lvl>
      <w:start w:val="6"/>
      <w:numFmt w:val="lowerLetter"/>
      <w:suff w:val="tab"/>
      <w:lvlText w:val="%1."/>
      <w:rPr>
        <w:color w:val="3370ff"/>
      </w:rPr>
    </w:lvl>
  </w:abstractNum>
  <w:abstractNum w:abstractNumId="855219">
    <w:lvl>
      <w:start w:val="7"/>
      <w:numFmt w:val="lowerLetter"/>
      <w:suff w:val="tab"/>
      <w:lvlText w:val="%1."/>
      <w:rPr>
        <w:color w:val="3370ff"/>
      </w:rPr>
    </w:lvl>
  </w:abstractNum>
  <w:abstractNum w:abstractNumId="855220">
    <w:lvl>
      <w:start w:val="1"/>
      <w:numFmt w:val="decimal"/>
      <w:suff w:val="tab"/>
      <w:lvlText w:val="%1."/>
      <w:rPr>
        <w:color w:val="3370ff"/>
      </w:rPr>
    </w:lvl>
  </w:abstractNum>
  <w:abstractNum w:abstractNumId="855221">
    <w:lvl>
      <w:start w:val="2"/>
      <w:numFmt w:val="decimal"/>
      <w:suff w:val="tab"/>
      <w:lvlText w:val="%1."/>
      <w:rPr>
        <w:color w:val="3370ff"/>
      </w:rPr>
    </w:lvl>
  </w:abstractNum>
  <w:abstractNum w:abstractNumId="855222">
    <w:lvl>
      <w:start w:val="3"/>
      <w:numFmt w:val="decimal"/>
      <w:suff w:val="tab"/>
      <w:lvlText w:val="%1."/>
      <w:rPr>
        <w:color w:val="3370ff"/>
      </w:rPr>
    </w:lvl>
  </w:abstractNum>
  <w:abstractNum w:abstractNumId="855223">
    <w:lvl>
      <w:start w:val="1"/>
      <w:numFmt w:val="decimal"/>
      <w:suff w:val="tab"/>
      <w:lvlText w:val="%1."/>
      <w:rPr>
        <w:color w:val="3370ff"/>
      </w:rPr>
    </w:lvl>
  </w:abstractNum>
  <w:abstractNum w:abstractNumId="855224">
    <w:lvl>
      <w:start w:val="2"/>
      <w:numFmt w:val="decimal"/>
      <w:suff w:val="tab"/>
      <w:lvlText w:val="%1."/>
      <w:rPr>
        <w:color w:val="3370ff"/>
      </w:rPr>
    </w:lvl>
  </w:abstractNum>
  <w:abstractNum w:abstractNumId="855225">
    <w:lvl>
      <w:start w:val="1"/>
      <w:numFmt w:val="decimal"/>
      <w:suff w:val="tab"/>
      <w:lvlText w:val="%1."/>
      <w:rPr>
        <w:color w:val="3370ff"/>
      </w:rPr>
    </w:lvl>
  </w:abstractNum>
  <w:abstractNum w:abstractNumId="855226">
    <w:lvl>
      <w:start w:val="2"/>
      <w:numFmt w:val="decimal"/>
      <w:suff w:val="tab"/>
      <w:lvlText w:val="%1."/>
      <w:rPr>
        <w:color w:val="3370ff"/>
      </w:rPr>
    </w:lvl>
  </w:abstractNum>
  <w:abstractNum w:abstractNumId="855227">
    <w:lvl>
      <w:start w:val="3"/>
      <w:numFmt w:val="decimal"/>
      <w:suff w:val="tab"/>
      <w:lvlText w:val="%1."/>
      <w:rPr>
        <w:color w:val="3370ff"/>
      </w:rPr>
    </w:lvl>
  </w:abstractNum>
  <w:abstractNum w:abstractNumId="855228">
    <w:lvl>
      <w:start w:val="1"/>
      <w:numFmt w:val="decimal"/>
      <w:suff w:val="tab"/>
      <w:lvlText w:val="%1."/>
      <w:rPr>
        <w:color w:val="3370ff"/>
      </w:rPr>
    </w:lvl>
  </w:abstractNum>
  <w:abstractNum w:abstractNumId="855229">
    <w:lvl>
      <w:start w:val="2"/>
      <w:numFmt w:val="decimal"/>
      <w:suff w:val="tab"/>
      <w:lvlText w:val="%1."/>
      <w:rPr>
        <w:color w:val="3370ff"/>
      </w:rPr>
    </w:lvl>
  </w:abstractNum>
  <w:abstractNum w:abstractNumId="855230">
    <w:lvl>
      <w:start w:val="3"/>
      <w:numFmt w:val="decimal"/>
      <w:suff w:val="tab"/>
      <w:lvlText w:val="%1."/>
      <w:rPr>
        <w:color w:val="3370ff"/>
      </w:rPr>
    </w:lvl>
  </w:abstractNum>
  <w:abstractNum w:abstractNumId="855231">
    <w:lvl>
      <w:start w:val="1"/>
      <w:numFmt w:val="decimal"/>
      <w:suff w:val="tab"/>
      <w:lvlText w:val="%1."/>
      <w:rPr>
        <w:color w:val="3370ff"/>
      </w:rPr>
    </w:lvl>
  </w:abstractNum>
  <w:abstractNum w:abstractNumId="855232">
    <w:lvl>
      <w:start w:val="2"/>
      <w:numFmt w:val="decimal"/>
      <w:suff w:val="tab"/>
      <w:lvlText w:val="%1."/>
      <w:rPr>
        <w:color w:val="3370ff"/>
      </w:rPr>
    </w:lvl>
  </w:abstractNum>
  <w:abstractNum w:abstractNumId="855233">
    <w:lvl>
      <w:start w:val="1"/>
      <w:numFmt w:val="decimal"/>
      <w:suff w:val="tab"/>
      <w:lvlText w:val="%1."/>
      <w:rPr>
        <w:color w:val="3370ff"/>
      </w:rPr>
    </w:lvl>
  </w:abstractNum>
  <w:abstractNum w:abstractNumId="855234">
    <w:lvl>
      <w:start w:val="2"/>
      <w:numFmt w:val="decimal"/>
      <w:suff w:val="tab"/>
      <w:lvlText w:val="%1."/>
      <w:rPr>
        <w:color w:val="3370ff"/>
      </w:rPr>
    </w:lvl>
  </w:abstractNum>
  <w:abstractNum w:abstractNumId="855235">
    <w:lvl>
      <w:start w:val="1"/>
      <w:numFmt w:val="decimal"/>
      <w:suff w:val="tab"/>
      <w:lvlText w:val="%1."/>
      <w:rPr>
        <w:color w:val="3370ff"/>
      </w:rPr>
    </w:lvl>
  </w:abstractNum>
  <w:abstractNum w:abstractNumId="855236">
    <w:lvl>
      <w:start w:val="2"/>
      <w:numFmt w:val="decimal"/>
      <w:suff w:val="tab"/>
      <w:lvlText w:val="%1."/>
      <w:rPr>
        <w:color w:val="3370ff"/>
      </w:rPr>
    </w:lvl>
  </w:abstractNum>
  <w:abstractNum w:abstractNumId="855237">
    <w:lvl>
      <w:start w:val="1"/>
      <w:numFmt w:val="decimal"/>
      <w:suff w:val="tab"/>
      <w:lvlText w:val="%1."/>
      <w:rPr>
        <w:color w:val="3370ff"/>
      </w:rPr>
    </w:lvl>
  </w:abstractNum>
  <w:abstractNum w:abstractNumId="855238">
    <w:lvl>
      <w:start w:val="2"/>
      <w:numFmt w:val="decimal"/>
      <w:suff w:val="tab"/>
      <w:lvlText w:val="%1."/>
      <w:rPr>
        <w:color w:val="3370ff"/>
      </w:rPr>
    </w:lvl>
  </w:abstractNum>
  <w:abstractNum w:abstractNumId="855239">
    <w:lvl>
      <w:start w:val="1"/>
      <w:numFmt w:val="decimal"/>
      <w:suff w:val="tab"/>
      <w:lvlText w:val="%1."/>
      <w:rPr>
        <w:color w:val="3370ff"/>
      </w:rPr>
    </w:lvl>
  </w:abstractNum>
  <w:abstractNum w:abstractNumId="855240">
    <w:lvl>
      <w:start w:val="2"/>
      <w:numFmt w:val="decimal"/>
      <w:suff w:val="tab"/>
      <w:lvlText w:val="%1."/>
      <w:rPr>
        <w:color w:val="3370ff"/>
      </w:rPr>
    </w:lvl>
  </w:abstractNum>
  <w:abstractNum w:abstractNumId="855241">
    <w:lvl>
      <w:start w:val="1"/>
      <w:numFmt w:val="decimal"/>
      <w:suff w:val="tab"/>
      <w:lvlText w:val="%1."/>
      <w:rPr>
        <w:color w:val="3370ff"/>
      </w:rPr>
    </w:lvl>
  </w:abstractNum>
  <w:abstractNum w:abstractNumId="855242">
    <w:lvl>
      <w:start w:val="2"/>
      <w:numFmt w:val="decimal"/>
      <w:suff w:val="tab"/>
      <w:lvlText w:val="%1."/>
      <w:rPr>
        <w:color w:val="3370ff"/>
      </w:rPr>
    </w:lvl>
  </w:abstractNum>
  <w:abstractNum w:abstractNumId="855243">
    <w:lvl>
      <w:start w:val="3"/>
      <w:numFmt w:val="decimal"/>
      <w:suff w:val="tab"/>
      <w:lvlText w:val="%1."/>
      <w:rPr>
        <w:color w:val="3370ff"/>
      </w:rPr>
    </w:lvl>
  </w:abstractNum>
  <w:abstractNum w:abstractNumId="855244">
    <w:lvl>
      <w:start w:val="1"/>
      <w:numFmt w:val="decimal"/>
      <w:suff w:val="tab"/>
      <w:lvlText w:val="%1."/>
      <w:rPr>
        <w:color w:val="3370ff"/>
      </w:rPr>
    </w:lvl>
  </w:abstractNum>
  <w:abstractNum w:abstractNumId="855245">
    <w:lvl>
      <w:start w:val="2"/>
      <w:numFmt w:val="decimal"/>
      <w:suff w:val="tab"/>
      <w:lvlText w:val="%1."/>
      <w:rPr>
        <w:color w:val="3370ff"/>
      </w:rPr>
    </w:lvl>
  </w:abstractNum>
  <w:abstractNum w:abstractNumId="855246">
    <w:lvl>
      <w:start w:val="1"/>
      <w:numFmt w:val="decimal"/>
      <w:suff w:val="tab"/>
      <w:lvlText w:val="%1."/>
      <w:rPr>
        <w:color w:val="3370ff"/>
      </w:rPr>
    </w:lvl>
  </w:abstractNum>
  <w:abstractNum w:abstractNumId="855247">
    <w:lvl>
      <w:start w:val="2"/>
      <w:numFmt w:val="decimal"/>
      <w:suff w:val="tab"/>
      <w:lvlText w:val="%1."/>
      <w:rPr>
        <w:color w:val="3370ff"/>
      </w:rPr>
    </w:lvl>
  </w:abstractNum>
  <w:abstractNum w:abstractNumId="855248">
    <w:lvl>
      <w:start w:val="3"/>
      <w:numFmt w:val="decimal"/>
      <w:suff w:val="tab"/>
      <w:lvlText w:val="%1."/>
      <w:rPr>
        <w:color w:val="3370ff"/>
      </w:rPr>
    </w:lvl>
  </w:abstractNum>
  <w:abstractNum w:abstractNumId="855249">
    <w:lvl>
      <w:start w:val="1"/>
      <w:numFmt w:val="decimal"/>
      <w:suff w:val="tab"/>
      <w:lvlText w:val="%1."/>
      <w:rPr>
        <w:color w:val="3370ff"/>
      </w:rPr>
    </w:lvl>
  </w:abstractNum>
  <w:abstractNum w:abstractNumId="855250">
    <w:lvl>
      <w:start w:val="2"/>
      <w:numFmt w:val="decimal"/>
      <w:suff w:val="tab"/>
      <w:lvlText w:val="%1."/>
      <w:rPr>
        <w:color w:val="3370ff"/>
      </w:rPr>
    </w:lvl>
  </w:abstractNum>
  <w:abstractNum w:abstractNumId="855251">
    <w:lvl>
      <w:start w:val="3"/>
      <w:numFmt w:val="decimal"/>
      <w:suff w:val="tab"/>
      <w:lvlText w:val="%1."/>
      <w:rPr>
        <w:color w:val="3370ff"/>
      </w:rPr>
    </w:lvl>
  </w:abstractNum>
  <w:abstractNum w:abstractNumId="855252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855213"/>
  </w:num>
  <w:num w:numId="2">
    <w:abstractNumId w:val="855214"/>
  </w:num>
  <w:num w:numId="3">
    <w:abstractNumId w:val="855215"/>
  </w:num>
  <w:num w:numId="4">
    <w:abstractNumId w:val="855216"/>
  </w:num>
  <w:num w:numId="5">
    <w:abstractNumId w:val="855217"/>
  </w:num>
  <w:num w:numId="6">
    <w:abstractNumId w:val="855218"/>
  </w:num>
  <w:num w:numId="7">
    <w:abstractNumId w:val="855219"/>
  </w:num>
  <w:num w:numId="8">
    <w:abstractNumId w:val="855220"/>
  </w:num>
  <w:num w:numId="9">
    <w:abstractNumId w:val="855221"/>
  </w:num>
  <w:num w:numId="10">
    <w:abstractNumId w:val="855222"/>
  </w:num>
  <w:num w:numId="11">
    <w:abstractNumId w:val="855223"/>
  </w:num>
  <w:num w:numId="12">
    <w:abstractNumId w:val="855224"/>
  </w:num>
  <w:num w:numId="13">
    <w:abstractNumId w:val="855225"/>
  </w:num>
  <w:num w:numId="14">
    <w:abstractNumId w:val="855226"/>
  </w:num>
  <w:num w:numId="15">
    <w:abstractNumId w:val="855227"/>
  </w:num>
  <w:num w:numId="16">
    <w:abstractNumId w:val="855228"/>
  </w:num>
  <w:num w:numId="17">
    <w:abstractNumId w:val="855229"/>
  </w:num>
  <w:num w:numId="18">
    <w:abstractNumId w:val="855230"/>
  </w:num>
  <w:num w:numId="19">
    <w:abstractNumId w:val="855231"/>
  </w:num>
  <w:num w:numId="20">
    <w:abstractNumId w:val="855232"/>
  </w:num>
  <w:num w:numId="21">
    <w:abstractNumId w:val="855233"/>
  </w:num>
  <w:num w:numId="22">
    <w:abstractNumId w:val="855234"/>
  </w:num>
  <w:num w:numId="23">
    <w:abstractNumId w:val="855235"/>
  </w:num>
  <w:num w:numId="24">
    <w:abstractNumId w:val="855236"/>
  </w:num>
  <w:num w:numId="25">
    <w:abstractNumId w:val="855237"/>
  </w:num>
  <w:num w:numId="26">
    <w:abstractNumId w:val="855238"/>
  </w:num>
  <w:num w:numId="27">
    <w:abstractNumId w:val="855239"/>
  </w:num>
  <w:num w:numId="28">
    <w:abstractNumId w:val="855240"/>
  </w:num>
  <w:num w:numId="29">
    <w:abstractNumId w:val="855241"/>
  </w:num>
  <w:num w:numId="30">
    <w:abstractNumId w:val="855242"/>
  </w:num>
  <w:num w:numId="31">
    <w:abstractNumId w:val="855243"/>
  </w:num>
  <w:num w:numId="32">
    <w:abstractNumId w:val="855244"/>
  </w:num>
  <w:num w:numId="33">
    <w:abstractNumId w:val="855245"/>
  </w:num>
  <w:num w:numId="34">
    <w:abstractNumId w:val="855246"/>
  </w:num>
  <w:num w:numId="35">
    <w:abstractNumId w:val="855247"/>
  </w:num>
  <w:num w:numId="36">
    <w:abstractNumId w:val="855248"/>
  </w:num>
  <w:num w:numId="37">
    <w:abstractNumId w:val="855249"/>
  </w:num>
  <w:num w:numId="38">
    <w:abstractNumId w:val="855250"/>
  </w:num>
  <w:num w:numId="39">
    <w:abstractNumId w:val="855251"/>
  </w:num>
  <w:num w:numId="40">
    <w:abstractNumId w:val="85525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ttps://w8u32nmglo.feishu.cn/wiki/VREzwgDwKiE9eJkEFUQcSy2Ense?from=from_copylink" TargetMode="External" Type="http://schemas.openxmlformats.org/officeDocument/2006/relationships/hyperlink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2026-10-10T02:07:58Z</dcterms:created>
  <dc:creator>Apache POI</dc:creator>
</cp:coreProperties>
</file>