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6.4 工作接口管理</w:t>
      </w:r>
      <w:r>
        <w:rPr>
          <w:rFonts w:eastAsia="等线" w:ascii="Arial" w:cs="Arial" w:hAnsi="Arial"/>
          <w:b w:val="true"/>
          <w:sz w:val="52"/>
        </w:rPr>
        <w:t>【项目编辑修改】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城区级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4080"/>
        <w:gridCol w:w="1305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对接岗位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核心对接事项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项目对接岗位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城区共享服务中心经理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人才盘点、满意度测评、人力规划、用工风险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人力共享主管（招聘 / 员工关系 / 培训）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招聘全流程、入转调离、劳动纠纷、员工培训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人力共享主管（薪酬绩效）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考勤薪酬、绩效考核、人力预算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人力共享主管（采购行政）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一应荟采购、费用报销、印章、固定资产、档案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城区解决方案总监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增值业务运营、社区生态服务落地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城区社区关系总监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客户关系、投诉处理、收缴率提升、维修队管理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区域级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4440"/>
        <w:gridCol w:w="1620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对接部门 / 岗位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核心对接事项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项目对接岗位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 办公室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战略落地、经营计划、行政法务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市场发展部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项目拓展、客户关系、商机管理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服务运营部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体系稽查、运营指导、数字化运营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人力行政部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人才发展、绩效政策、组织建设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财经管理部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预算管理、财务核算、资金税务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大区 CMO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项目承接审批、市场拓展决策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大区 COO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经营计划审核、服务方案审批、运营督导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集团级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集团组建面向项目的能力小组，具体对接人员参考：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能力小组清单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cpg1987.feishu.cn/base/ZCUrbwB9naqidCsVaB9cuKZInYe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2026-10-10T02:11:06Z</dcterms:created>
  <dc:creator>Apache POI</dc:creator>
</cp:coreProperties>
</file>