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6.5 预算管理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预算汇总表-物业-基本经营单元2026_（深圳一城区）海印长城管理处_预算编制.xlsx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预算汇总表-物业-基本经营单元2026_（深圳一城区）海印一期委托停车场_预算编制.xlsx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预算管理按照公司标准</w:t>
      </w:r>
      <w:hyperlink r:id="rId4">
        <w:r>
          <w:rPr>
            <w:rFonts w:eastAsia="等线" w:ascii="Arial" w:cs="Arial" w:hAnsi="Arial"/>
            <w:color w:val="3370ff"/>
            <w:sz w:val="22"/>
          </w:rPr>
          <w:t xml:space="preserve">长城物业集团全面预算编制指引实施细则——总部及物业板块（费用中心） </w:t>
        </w:r>
      </w:hyperlink>
      <w:r>
        <w:rPr>
          <w:rFonts w:eastAsia="等线" w:ascii="Arial" w:cs="Arial" w:hAnsi="Arial"/>
          <w:sz w:val="22"/>
        </w:rPr>
        <w:t>执行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ccpg1987.feishu.cn/docx/Mw6YdfncooQrLJxZYoEcWr8pnAd?from=from_copylink" TargetMode="External" Type="http://schemas.openxmlformats.org/officeDocument/2006/relationships/hyperlink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2026-10-10T02:11:29Z</dcterms:created>
  <dc:creator>Apache POI</dc:creator>
</cp:coreProperties>
</file>