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xml:space="preserve">1.1.3.11-001 </w:t>
      </w:r>
      <w:r>
        <w:rPr>
          <w:rFonts w:eastAsia="等线" w:ascii="Arial" w:cs="Arial" w:hAnsi="Arial"/>
          <w:b w:val="true"/>
          <w:sz w:val="52"/>
        </w:rPr>
        <w:t>秩序服务作业管理要求</w:t>
      </w:r>
      <w:r>
        <w:rPr>
          <w:rFonts w:eastAsia="等线" w:ascii="Arial" w:cs="Arial" w:hAnsi="Arial"/>
          <w:b w:val="true"/>
          <w:sz w:val="52"/>
        </w:rPr>
        <w:t xml:space="preserve"> CCPG/B-1.1.3.11-B-001 F/0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15"/>
        <w:gridCol w:w="2700"/>
        <w:gridCol w:w="570"/>
        <w:gridCol w:w="570"/>
        <w:gridCol w:w="3210"/>
      </w:tblGrid>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文件名称</w:t>
            </w:r>
          </w:p>
        </w:tc>
        <w:tc>
          <w:tcPr>
            <w:tcW w:w="70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秩序服务作业管理要求</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CCPG/B-1.1.3.11-B-001</w:t>
            </w:r>
          </w:p>
        </w:tc>
        <w:tc>
          <w:tcPr>
            <w:tcW w:w="1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实施日期</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2026/05/01</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版本/改次</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F/0</w:t>
            </w:r>
          </w:p>
        </w:tc>
        <w:tc>
          <w:tcPr>
            <w:tcW w:w="11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文件有效期</w:t>
            </w: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2028/05/01</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组织层级</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集团</w:t>
            </w:r>
          </w:p>
        </w:tc>
        <w:tc>
          <w:tcPr>
            <w:tcW w:w="57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w:t>
            </w:r>
          </w:p>
          <w:p>
            <w:pPr>
              <w:spacing w:before="120" w:after="120" w:line="288" w:lineRule="auto"/>
              <w:ind w:left="0"/>
              <w:jc w:val="center"/>
            </w:pPr>
            <w:r>
              <w:rPr>
                <w:rFonts w:eastAsia="等线" w:ascii="Arial" w:cs="Arial" w:hAnsi="Arial"/>
                <w:b w:val="true"/>
                <w:sz w:val="22"/>
              </w:rPr>
              <w:t>程</w:t>
            </w:r>
          </w:p>
          <w:p>
            <w:pPr>
              <w:spacing w:before="120" w:after="120" w:line="288" w:lineRule="auto"/>
              <w:ind w:left="0"/>
              <w:jc w:val="center"/>
            </w:pPr>
            <w:r>
              <w:rPr>
                <w:rFonts w:eastAsia="等线" w:ascii="Arial" w:cs="Arial" w:hAnsi="Arial"/>
                <w:b w:val="true"/>
                <w:sz w:val="22"/>
              </w:rPr>
              <w:t>架</w:t>
            </w:r>
          </w:p>
          <w:p>
            <w:pPr>
              <w:spacing w:before="120" w:after="120" w:line="288" w:lineRule="auto"/>
              <w:ind w:left="0"/>
              <w:jc w:val="center"/>
            </w:pPr>
            <w:r>
              <w:rPr>
                <w:rFonts w:eastAsia="等线" w:ascii="Arial" w:cs="Arial" w:hAnsi="Arial"/>
                <w:b w:val="true"/>
                <w:sz w:val="22"/>
              </w:rPr>
              <w:t>构</w:t>
            </w:r>
          </w:p>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L1级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1.0服务提供-价值创造过程</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文件层级</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规范性文件</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L2级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1.1公域服务</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1f2329"/>
                <w:sz w:val="22"/>
              </w:rPr>
              <w:t>编写/修订人</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@周易</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L3级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 秩序服务</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编写/修订部门</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秩序环境事业部</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L4级</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1.1.3.11 秩序管理要求</w:t>
            </w: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批准人</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@董庆强</w:t>
            </w:r>
          </w:p>
        </w:tc>
        <w:tc>
          <w:tcPr>
            <w:tcW w:w="570" w:type="dxa"/>
            <w:vMerge w:val="continue"/>
            <w:tcMar>
              <w:top w:type="dxa" w:w="60"/>
              <w:left w:type="dxa" w:w="120"/>
              <w:bottom w:type="dxa" w:w="30"/>
              <w:right w:type="dxa" w:w="120"/>
            </w:tcMar>
          </w:tcPr>
          <w:p>
            <w:pPr>
              <w:spacing w:before="120" w:after="120" w:line="288" w:lineRule="auto"/>
              <w:ind w:left="0"/>
              <w:jc w:val="left"/>
            </w:pPr>
          </w:p>
        </w:tc>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L5级</w:t>
            </w:r>
          </w:p>
        </w:tc>
        <w:tc>
          <w:tcPr>
            <w:tcW w:w="3210" w:type="dxa"/>
            <w:tcMar>
              <w:top w:type="dxa" w:w="60"/>
              <w:left w:type="dxa" w:w="120"/>
              <w:bottom w:type="dxa" w:w="30"/>
              <w:right w:type="dxa" w:w="120"/>
            </w:tcMar>
          </w:tcPr>
          <w:p>
            <w:pPr>
              <w:spacing w:before="120" w:after="120" w:line="288" w:lineRule="auto"/>
              <w:ind w:left="0"/>
              <w:jc w:val="left"/>
            </w:pPr>
          </w:p>
        </w:tc>
      </w:tr>
      <w:tr>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修订记录</w:t>
            </w:r>
          </w:p>
        </w:tc>
        <w:tc>
          <w:tcPr>
            <w:tcW w:w="7050" w:type="dxa"/>
            <w:hMerge w:val="restart"/>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r>
        <w:tc>
          <w:tcPr>
            <w:tcW w:w="826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*本体系文件已正式发布在长城物业知识库</w:t>
            </w:r>
            <w:hyperlink r:id="rId4">
              <w:r>
                <w:rPr>
                  <w:rFonts w:eastAsia="等线" w:ascii="Arial" w:cs="Arial" w:hAnsi="Arial"/>
                  <w:color w:val="3370ff"/>
                  <w:sz w:val="22"/>
                  <w:u w:val="single"/>
                </w:rPr>
                <w:t>长城物业运营体系管理文件</w:t>
              </w:r>
            </w:hyperlink>
          </w:p>
        </w:tc>
        <w:tc>
          <w:tcPr>
            <w:tcW w:w="270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570" w:type="dxa"/>
            <w:hMerge w:val="continue"/>
            <w:tcMar>
              <w:top w:type="dxa" w:w="60"/>
              <w:left w:type="dxa" w:w="120"/>
              <w:bottom w:type="dxa" w:w="30"/>
              <w:right w:type="dxa" w:w="120"/>
            </w:tcMar>
          </w:tcPr>
          <w:p>
            <w:pPr>
              <w:spacing w:before="120" w:after="120" w:line="288" w:lineRule="auto"/>
              <w:ind w:left="0"/>
              <w:jc w:val="left"/>
            </w:pPr>
          </w:p>
        </w:tc>
        <w:tc>
          <w:tcPr>
            <w:tcW w:w="3210" w:type="dxa"/>
            <w:hMerge w:val="continue"/>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目的</w:t>
      </w:r>
      <w:bookmarkEnd w:id="0"/>
    </w:p>
    <w:p>
      <w:pPr>
        <w:spacing w:before="120" w:after="120" w:line="288" w:lineRule="auto"/>
        <w:ind w:left="0" w:firstLine="420"/>
        <w:jc w:val="left"/>
      </w:pPr>
      <w:r>
        <w:rPr>
          <w:rFonts w:eastAsia="等线" w:ascii="Arial" w:cs="Arial" w:hAnsi="Arial"/>
          <w:sz w:val="22"/>
        </w:rPr>
        <w:t>规范物业服务区秩序服务的作业准则。</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适用范围</w:t>
      </w:r>
      <w:bookmarkEnd w:id="1"/>
    </w:p>
    <w:p>
      <w:pPr>
        <w:spacing w:before="120" w:after="120" w:line="288" w:lineRule="auto"/>
        <w:ind w:left="0" w:firstLine="420"/>
        <w:jc w:val="left"/>
      </w:pPr>
      <w:r>
        <w:rPr>
          <w:rFonts w:eastAsia="等线" w:ascii="Arial" w:cs="Arial" w:hAnsi="Arial"/>
          <w:sz w:val="22"/>
        </w:rPr>
        <w:t>适用于长城物业所管项目秩序服务的管理工作。</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总体要求</w:t>
      </w:r>
      <w:bookmarkEnd w:id="2"/>
    </w:p>
    <w:p>
      <w:pPr>
        <w:numPr>
          <w:numId w:val="1"/>
        </w:numPr>
        <w:spacing w:before="120" w:after="120" w:line="288" w:lineRule="auto"/>
        <w:ind w:left="453"/>
        <w:jc w:val="left"/>
      </w:pPr>
      <w:r>
        <w:rPr>
          <w:rFonts w:eastAsia="等线" w:ascii="Arial" w:cs="Arial" w:hAnsi="Arial"/>
          <w:sz w:val="22"/>
        </w:rPr>
        <w:t>秩序维护员在执勤中应礼貌对客，遵守《服务礼仪规范》要求。</w:t>
      </w:r>
    </w:p>
    <w:p>
      <w:pPr>
        <w:numPr>
          <w:numId w:val="2"/>
        </w:numPr>
        <w:spacing w:before="120" w:after="120" w:line="288" w:lineRule="auto"/>
        <w:ind w:left="453"/>
        <w:jc w:val="left"/>
      </w:pPr>
      <w:r>
        <w:rPr>
          <w:rFonts w:eastAsia="等线" w:ascii="Arial" w:cs="Arial" w:hAnsi="Arial"/>
          <w:sz w:val="22"/>
        </w:rPr>
        <w:t>秩序服务的所有标识均应符合公司《VI系统分类管理要求》的要求。</w:t>
      </w:r>
    </w:p>
    <w:p>
      <w:pPr>
        <w:numPr>
          <w:numId w:val="3"/>
        </w:numPr>
        <w:spacing w:before="120" w:after="120" w:line="288" w:lineRule="auto"/>
        <w:ind w:left="453"/>
        <w:jc w:val="left"/>
      </w:pPr>
      <w:r>
        <w:rPr>
          <w:rFonts w:eastAsia="等线" w:ascii="Arial" w:cs="Arial" w:hAnsi="Arial"/>
          <w:sz w:val="22"/>
        </w:rPr>
        <w:t>秩序服务人员应持对应需求证件上岗。</w:t>
      </w:r>
    </w:p>
    <w:p>
      <w:pPr>
        <w:numPr>
          <w:numId w:val="4"/>
        </w:numPr>
        <w:spacing w:before="120" w:after="120" w:line="288" w:lineRule="auto"/>
        <w:ind w:left="453"/>
        <w:jc w:val="left"/>
      </w:pPr>
      <w:r>
        <w:rPr>
          <w:rFonts w:eastAsia="等线" w:ascii="Arial" w:cs="Arial" w:hAnsi="Arial"/>
          <w:sz w:val="22"/>
        </w:rPr>
        <w:t>秩序维护员应对物业服务区的关键客户识别率达到100%。</w:t>
      </w:r>
    </w:p>
    <w:p>
      <w:pPr>
        <w:numPr>
          <w:numId w:val="5"/>
        </w:numPr>
        <w:spacing w:before="120" w:after="120" w:line="288" w:lineRule="auto"/>
        <w:ind w:left="453"/>
        <w:jc w:val="left"/>
      </w:pPr>
      <w:r>
        <w:rPr>
          <w:rFonts w:eastAsia="等线" w:ascii="Arial" w:cs="Arial" w:hAnsi="Arial"/>
          <w:sz w:val="22"/>
        </w:rPr>
        <w:t>秩序维护员应熟悉相关法律法规（国家规定的《中华人民共和国国家安全法》、《中华人民共和国反恐怖主义法》、《中华人民共和国消防法》等），并在法律法规的范围内履行职责。</w:t>
      </w:r>
    </w:p>
    <w:p>
      <w:pPr>
        <w:numPr>
          <w:numId w:val="6"/>
        </w:numPr>
        <w:spacing w:before="120" w:after="120" w:line="288" w:lineRule="auto"/>
        <w:ind w:left="453"/>
        <w:jc w:val="left"/>
      </w:pPr>
      <w:r>
        <w:rPr>
          <w:rFonts w:eastAsia="等线" w:ascii="Arial" w:cs="Arial" w:hAnsi="Arial"/>
          <w:sz w:val="22"/>
        </w:rPr>
        <w:t>秩序维护员应协助公安机关、居委会等政府部门做好社区安全防范工作。</w:t>
      </w:r>
    </w:p>
    <w:p>
      <w:pPr>
        <w:numPr>
          <w:numId w:val="7"/>
        </w:numPr>
        <w:spacing w:before="120" w:after="120" w:line="288" w:lineRule="auto"/>
        <w:ind w:left="453"/>
        <w:jc w:val="left"/>
      </w:pPr>
      <w:r>
        <w:rPr>
          <w:rFonts w:eastAsia="等线" w:ascii="Arial" w:cs="Arial" w:hAnsi="Arial"/>
          <w:sz w:val="22"/>
        </w:rPr>
        <w:t>当值秩序维护员应及时在《值班记录表》上完整记录好当天值班工作情况。</w:t>
      </w:r>
    </w:p>
    <w:p>
      <w:pPr>
        <w:numPr>
          <w:numId w:val="8"/>
        </w:numPr>
        <w:spacing w:before="120" w:after="120" w:line="288" w:lineRule="auto"/>
        <w:ind w:left="453"/>
        <w:jc w:val="left"/>
      </w:pPr>
      <w:r>
        <w:rPr>
          <w:rFonts w:eastAsia="等线" w:ascii="Arial" w:cs="Arial" w:hAnsi="Arial"/>
          <w:sz w:val="22"/>
        </w:rPr>
        <w:t>实行防火安全岗位责任制，物业项目经理为项目的消防安全责任人，秩序专业负责人为秩序部门的消防安全责任人，秩序领班为班组消防安全责任人，员工为岗位消防安全责任人。</w:t>
      </w:r>
    </w:p>
    <w:p>
      <w:pPr>
        <w:numPr>
          <w:numId w:val="9"/>
        </w:numPr>
        <w:spacing w:before="120" w:after="120" w:line="288" w:lineRule="auto"/>
        <w:ind w:left="453"/>
        <w:jc w:val="left"/>
      </w:pPr>
      <w:r>
        <w:rPr>
          <w:rFonts w:eastAsia="等线" w:ascii="Arial" w:cs="Arial" w:hAnsi="Arial"/>
          <w:sz w:val="22"/>
        </w:rPr>
        <w:t>物业项目内组织重大活动时，应及时知会辖区派出所及社区居委会。</w:t>
      </w:r>
    </w:p>
    <w:p>
      <w:pPr>
        <w:numPr>
          <w:numId w:val="10"/>
        </w:numPr>
        <w:spacing w:before="120" w:after="120" w:line="288" w:lineRule="auto"/>
        <w:ind w:left="453"/>
        <w:jc w:val="left"/>
      </w:pPr>
      <w:r>
        <w:rPr>
          <w:rFonts w:eastAsia="等线" w:ascii="Arial" w:cs="Arial" w:hAnsi="Arial"/>
          <w:sz w:val="22"/>
        </w:rPr>
        <w:t>物业项目内发生重大突发应急事件时，应及时拨打相关电话（如治安拨打"110"通知辖区派出所），报告上级领导并协助相关部门调查取证及善后处理，事后将情况填写在《值班记录表》上。</w:t>
      </w:r>
    </w:p>
    <w:p>
      <w:pPr>
        <w:numPr>
          <w:numId w:val="11"/>
        </w:numPr>
        <w:spacing w:before="120" w:after="120" w:line="288" w:lineRule="auto"/>
        <w:ind w:left="453"/>
        <w:jc w:val="left"/>
      </w:pPr>
      <w:r>
        <w:rPr>
          <w:rFonts w:eastAsia="等线" w:ascii="Arial" w:cs="Arial" w:hAnsi="Arial"/>
          <w:sz w:val="22"/>
        </w:rPr>
        <w:t>积极配合相关部门做好物业服务区法律法规政策（如消防、安全、扫黑除恶等）宣传教育工作。</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分类要求</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4.1 </w:t>
      </w:r>
      <w:r>
        <w:rPr>
          <w:rFonts w:eastAsia="等线" w:ascii="Arial" w:cs="Arial" w:hAnsi="Arial"/>
          <w:b w:val="true"/>
          <w:sz w:val="32"/>
        </w:rPr>
        <w:t>秩序维护工作计划管理要求</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95"/>
        <w:gridCol w:w="1200"/>
        <w:gridCol w:w="5685"/>
      </w:tblGrid>
      <w:tr>
        <w:tc>
          <w:tcPr>
            <w:tcW w:w="25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1200" w:type="dxa"/>
            <w:hMerge w:val="continue"/>
            <w:tcMar>
              <w:top w:type="dxa" w:w="60"/>
              <w:left w:type="dxa" w:w="120"/>
              <w:bottom w:type="dxa" w:w="30"/>
              <w:right w:type="dxa" w:w="120"/>
            </w:tcMar>
          </w:tcPr>
          <w:p>
            <w:pPr>
              <w:spacing w:before="120" w:after="120" w:line="288" w:lineRule="auto"/>
              <w:ind w:left="0"/>
              <w:jc w:val="left"/>
            </w:pPr>
          </w:p>
        </w:tc>
        <w:tc>
          <w:tcPr>
            <w:tcW w:w="568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13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年度工作</w:t>
            </w: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危险源管理</w:t>
            </w:r>
          </w:p>
        </w:tc>
        <w:tc>
          <w:tcPr>
            <w:tcW w:w="5685" w:type="dxa"/>
            <w:tcMar>
              <w:top w:type="dxa" w:w="60"/>
              <w:left w:type="dxa" w:w="120"/>
              <w:bottom w:type="dxa" w:w="30"/>
              <w:right w:type="dxa" w:w="120"/>
            </w:tcMar>
          </w:tcPr>
          <w:p>
            <w:pPr>
              <w:numPr>
                <w:numId w:val="12"/>
              </w:numPr>
              <w:spacing w:before="120" w:after="120" w:line="288" w:lineRule="auto"/>
              <w:ind w:left="0"/>
              <w:jc w:val="left"/>
            </w:pPr>
            <w:r>
              <w:rPr>
                <w:rFonts w:eastAsia="等线" w:ascii="Arial" w:cs="Arial" w:hAnsi="Arial"/>
                <w:sz w:val="22"/>
              </w:rPr>
              <w:t>应完成项目秩序相应的危险源识别及评价工作。</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安全秩序</w:t>
            </w:r>
          </w:p>
          <w:p>
            <w:pPr>
              <w:spacing w:before="120" w:after="120" w:line="288" w:lineRule="auto"/>
              <w:ind w:left="0"/>
              <w:jc w:val="center"/>
            </w:pPr>
          </w:p>
        </w:tc>
        <w:tc>
          <w:tcPr>
            <w:tcW w:w="5685" w:type="dxa"/>
            <w:vMerge w:val="restart"/>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应完成1次《安全布防方案》评审并及时更新。</w:t>
            </w:r>
          </w:p>
          <w:p>
            <w:pPr>
              <w:numPr>
                <w:numId w:val="14"/>
              </w:numPr>
              <w:spacing w:before="120" w:after="120" w:line="288" w:lineRule="auto"/>
              <w:ind w:left="0"/>
              <w:jc w:val="left"/>
            </w:pPr>
            <w:r>
              <w:rPr>
                <w:rFonts w:eastAsia="等线" w:ascii="Arial" w:cs="Arial" w:hAnsi="Arial"/>
                <w:sz w:val="22"/>
              </w:rPr>
              <w:t>应完成1次对安防设施设备进行全面检测，结合项目运用情况，提出合理有效的提升方案，如是否需要更换或运用新智能化设备，提高效率及服务体验感等。</w:t>
            </w:r>
          </w:p>
          <w:p>
            <w:pPr>
              <w:numPr>
                <w:numId w:val="15"/>
              </w:numPr>
              <w:spacing w:before="120" w:after="120" w:line="288" w:lineRule="auto"/>
              <w:ind w:left="0"/>
              <w:jc w:val="left"/>
            </w:pPr>
            <w:r>
              <w:rPr>
                <w:rFonts w:eastAsia="等线" w:ascii="Arial" w:cs="Arial" w:hAnsi="Arial"/>
                <w:sz w:val="22"/>
              </w:rPr>
              <w:t>应完成至少1次各项应急预案演练安排。</w:t>
            </w:r>
          </w:p>
          <w:p>
            <w:pPr>
              <w:numPr>
                <w:numId w:val="16"/>
              </w:numPr>
              <w:spacing w:before="120" w:after="120" w:line="288" w:lineRule="auto"/>
              <w:ind w:left="0"/>
              <w:jc w:val="left"/>
            </w:pPr>
            <w:r>
              <w:rPr>
                <w:rFonts w:eastAsia="等线" w:ascii="Arial" w:cs="Arial" w:hAnsi="Arial"/>
                <w:sz w:val="22"/>
              </w:rPr>
              <w:t>提前制定重要节日或重大活动的安全检查计划及安全保障方案并报项目经理审批，做好相关安全防范工作。</w:t>
            </w:r>
          </w:p>
          <w:p>
            <w:pPr>
              <w:numPr>
                <w:numId w:val="17"/>
              </w:numPr>
              <w:spacing w:before="120" w:after="120" w:line="288" w:lineRule="auto"/>
              <w:ind w:left="0"/>
              <w:jc w:val="left"/>
            </w:pPr>
            <w:r>
              <w:rPr>
                <w:rFonts w:eastAsia="等线" w:ascii="Arial" w:cs="Arial" w:hAnsi="Arial"/>
                <w:sz w:val="22"/>
              </w:rPr>
              <w:t>在法定节假日如五一劳动节、十一国庆节、春节前应对消防防火工作全面检查。</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消防安全</w:t>
            </w:r>
          </w:p>
        </w:tc>
        <w:tc>
          <w:tcPr>
            <w:tcW w:w="5685" w:type="dxa"/>
            <w:vMerge w:val="restart"/>
            <w:tcMar>
              <w:top w:type="dxa" w:w="60"/>
              <w:left w:type="dxa" w:w="120"/>
              <w:bottom w:type="dxa" w:w="30"/>
              <w:right w:type="dxa" w:w="120"/>
            </w:tcMar>
          </w:tcPr>
          <w:p>
            <w:pPr>
              <w:numPr>
                <w:numId w:val="18"/>
              </w:numPr>
              <w:spacing w:before="120" w:after="120" w:line="288" w:lineRule="auto"/>
              <w:ind w:left="0"/>
              <w:jc w:val="left"/>
            </w:pPr>
            <w:r>
              <w:rPr>
                <w:rFonts w:eastAsia="等线" w:ascii="Arial" w:cs="Arial" w:hAnsi="Arial"/>
                <w:sz w:val="22"/>
              </w:rPr>
              <w:t>应完成1次年度消防设施设备专项检测工作。</w:t>
            </w:r>
          </w:p>
          <w:p>
            <w:pPr>
              <w:numPr>
                <w:numId w:val="19"/>
              </w:numPr>
              <w:spacing w:before="120" w:after="120" w:line="288" w:lineRule="auto"/>
              <w:ind w:left="0"/>
              <w:jc w:val="left"/>
            </w:pPr>
            <w:r>
              <w:rPr>
                <w:rFonts w:eastAsia="等线" w:ascii="Arial" w:cs="Arial" w:hAnsi="Arial"/>
                <w:sz w:val="22"/>
              </w:rPr>
              <w:t>应完成1次年度防火专项检查工作。</w:t>
            </w:r>
          </w:p>
          <w:p>
            <w:pPr>
              <w:numPr>
                <w:numId w:val="20"/>
              </w:numPr>
              <w:spacing w:before="120" w:after="120" w:line="288" w:lineRule="auto"/>
              <w:ind w:left="0"/>
              <w:jc w:val="left"/>
            </w:pPr>
            <w:r>
              <w:rPr>
                <w:rFonts w:eastAsia="等线" w:ascii="Arial" w:cs="Arial" w:hAnsi="Arial"/>
                <w:sz w:val="22"/>
              </w:rPr>
              <w:t>应完成至少2次消防应急预案演练安排（可定6、12月）。</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车辆管理</w:t>
            </w:r>
          </w:p>
        </w:tc>
        <w:tc>
          <w:tcPr>
            <w:tcW w:w="5685"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应完成1次停车场车位分配方案调整工作。</w:t>
            </w:r>
          </w:p>
        </w:tc>
      </w:tr>
      <w:tr>
        <w:tc>
          <w:tcPr>
            <w:tcW w:w="139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月度工作</w:t>
            </w: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安全秩序</w:t>
            </w:r>
          </w:p>
        </w:tc>
        <w:tc>
          <w:tcPr>
            <w:tcW w:w="5685" w:type="dxa"/>
            <w:vMerge w:val="restart"/>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z w:val="22"/>
              </w:rPr>
              <w:t>应完成至少4次安防设施设备的检查。</w:t>
            </w:r>
          </w:p>
          <w:p>
            <w:pPr>
              <w:numPr>
                <w:numId w:val="23"/>
              </w:numPr>
              <w:spacing w:before="120" w:after="120" w:line="288" w:lineRule="auto"/>
              <w:ind w:left="0"/>
              <w:jc w:val="left"/>
            </w:pPr>
            <w:r>
              <w:rPr>
                <w:rFonts w:eastAsia="等线" w:ascii="Arial" w:cs="Arial" w:hAnsi="Arial"/>
                <w:sz w:val="22"/>
              </w:rPr>
              <w:t>对现场存在的安全隐患，应集中进行专项检查并及时整改，如巡查主要消防通道是否堵塞、电动车在楼道内违规充电等。</w:t>
            </w:r>
          </w:p>
          <w:p>
            <w:pPr>
              <w:numPr>
                <w:numId w:val="24"/>
              </w:numPr>
              <w:spacing w:before="120" w:after="120" w:line="288" w:lineRule="auto"/>
              <w:ind w:left="0"/>
              <w:jc w:val="left"/>
            </w:pPr>
            <w:r>
              <w:rPr>
                <w:rFonts w:eastAsia="等线" w:ascii="Arial" w:cs="Arial" w:hAnsi="Arial"/>
                <w:sz w:val="22"/>
              </w:rPr>
              <w:t>布置专项的防盗伏击工作。</w:t>
            </w:r>
          </w:p>
          <w:p>
            <w:pPr>
              <w:numPr>
                <w:numId w:val="25"/>
              </w:numPr>
              <w:spacing w:before="120" w:after="120" w:line="288" w:lineRule="auto"/>
              <w:ind w:left="0"/>
              <w:jc w:val="left"/>
            </w:pPr>
            <w:r>
              <w:rPr>
                <w:rFonts w:eastAsia="等线" w:ascii="Arial" w:cs="Arial" w:hAnsi="Arial"/>
                <w:sz w:val="22"/>
              </w:rPr>
              <w:t>在重大活动前应对活动场所进行安全检查。</w:t>
            </w:r>
          </w:p>
          <w:p>
            <w:pPr>
              <w:numPr>
                <w:numId w:val="26"/>
              </w:numPr>
              <w:spacing w:before="120" w:after="120" w:line="288" w:lineRule="auto"/>
              <w:ind w:left="0"/>
              <w:jc w:val="left"/>
            </w:pPr>
            <w:r>
              <w:rPr>
                <w:rFonts w:eastAsia="等线" w:ascii="Arial" w:cs="Arial" w:hAnsi="Arial"/>
                <w:sz w:val="22"/>
              </w:rPr>
              <w:t>机动车辆及非机动车辆进行专项整改。</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消防安全</w:t>
            </w:r>
          </w:p>
        </w:tc>
        <w:tc>
          <w:tcPr>
            <w:tcW w:w="5685" w:type="dxa"/>
            <w:vMerge w:val="restart"/>
            <w:tcMar>
              <w:top w:type="dxa" w:w="60"/>
              <w:left w:type="dxa" w:w="120"/>
              <w:bottom w:type="dxa" w:w="30"/>
              <w:right w:type="dxa" w:w="120"/>
            </w:tcMar>
          </w:tcPr>
          <w:p>
            <w:pPr>
              <w:numPr>
                <w:numId w:val="27"/>
              </w:numPr>
              <w:spacing w:before="120" w:after="120" w:line="288" w:lineRule="auto"/>
              <w:ind w:left="0"/>
              <w:jc w:val="left"/>
            </w:pPr>
            <w:r>
              <w:rPr>
                <w:rFonts w:eastAsia="等线" w:ascii="Arial" w:cs="Arial" w:hAnsi="Arial"/>
                <w:sz w:val="22"/>
              </w:rPr>
              <w:t>应完成至少1次消防设施设备及防火隐患的专项排查工作。</w:t>
            </w:r>
          </w:p>
          <w:p>
            <w:pPr>
              <w:numPr>
                <w:numId w:val="28"/>
              </w:numPr>
              <w:spacing w:before="120" w:after="120" w:line="288" w:lineRule="auto"/>
              <w:ind w:left="0"/>
              <w:jc w:val="left"/>
            </w:pPr>
            <w:r>
              <w:rPr>
                <w:rFonts w:eastAsia="等线" w:ascii="Arial" w:cs="Arial" w:hAnsi="Arial"/>
                <w:sz w:val="22"/>
              </w:rPr>
              <w:t>在重大活动前应对活动场所进行消防防火检查。</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车辆管理</w:t>
            </w:r>
          </w:p>
        </w:tc>
        <w:tc>
          <w:tcPr>
            <w:tcW w:w="5685" w:type="dxa"/>
            <w:vMerge w:val="restart"/>
            <w:tcMar>
              <w:top w:type="dxa" w:w="60"/>
              <w:left w:type="dxa" w:w="120"/>
              <w:bottom w:type="dxa" w:w="30"/>
              <w:right w:type="dxa" w:w="120"/>
            </w:tcMar>
          </w:tcPr>
          <w:p>
            <w:pPr>
              <w:numPr>
                <w:numId w:val="29"/>
              </w:numPr>
              <w:spacing w:before="120" w:after="120" w:line="288" w:lineRule="auto"/>
              <w:ind w:left="0"/>
              <w:jc w:val="left"/>
            </w:pPr>
            <w:r>
              <w:rPr>
                <w:rFonts w:eastAsia="等线" w:ascii="Arial" w:cs="Arial" w:hAnsi="Arial"/>
                <w:sz w:val="22"/>
              </w:rPr>
              <w:t>对车辆管理系统的检查工作。</w:t>
            </w:r>
          </w:p>
          <w:p>
            <w:pPr>
              <w:numPr>
                <w:numId w:val="30"/>
              </w:numPr>
              <w:spacing w:before="120" w:after="120" w:line="288" w:lineRule="auto"/>
              <w:ind w:left="0"/>
              <w:jc w:val="left"/>
            </w:pPr>
            <w:r>
              <w:rPr>
                <w:rFonts w:eastAsia="等线" w:ascii="Arial" w:cs="Arial" w:hAnsi="Arial"/>
                <w:sz w:val="22"/>
              </w:rPr>
              <w:t>对车位使用和收费情况进行专项检查及统计工作。</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vMerge w:val="continue"/>
            <w:tcMar>
              <w:top w:type="dxa" w:w="60"/>
              <w:left w:type="dxa" w:w="120"/>
              <w:bottom w:type="dxa" w:w="30"/>
              <w:right w:type="dxa" w:w="120"/>
            </w:tcMar>
          </w:tcPr>
          <w:p>
            <w:pPr>
              <w:spacing w:before="120" w:after="120" w:line="288" w:lineRule="auto"/>
              <w:ind w:left="0"/>
              <w:jc w:val="center"/>
            </w:pPr>
          </w:p>
        </w:tc>
        <w:tc>
          <w:tcPr>
            <w:tcW w:w="5685" w:type="dxa"/>
            <w:vMerge w:val="continue"/>
            <w:tcMar>
              <w:top w:type="dxa" w:w="60"/>
              <w:left w:type="dxa" w:w="120"/>
              <w:bottom w:type="dxa" w:w="30"/>
              <w:right w:type="dxa" w:w="120"/>
            </w:tcMar>
          </w:tcPr>
          <w:p>
            <w:pPr>
              <w:spacing w:before="120" w:after="120" w:line="288" w:lineRule="auto"/>
              <w:ind w:left="0"/>
              <w:jc w:val="left"/>
            </w:pP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仓储管理（涉及物业项目）</w:t>
            </w:r>
          </w:p>
        </w:tc>
        <w:tc>
          <w:tcPr>
            <w:tcW w:w="5685" w:type="dxa"/>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对项目仓库进行专项安全检查工作。</w:t>
            </w:r>
          </w:p>
        </w:tc>
      </w:tr>
      <w:tr>
        <w:tc>
          <w:tcPr>
            <w:tcW w:w="1395" w:type="dxa"/>
            <w:vMerge w:val="continue"/>
            <w:tcMar>
              <w:top w:type="dxa" w:w="60"/>
              <w:left w:type="dxa" w:w="120"/>
              <w:bottom w:type="dxa" w:w="30"/>
              <w:right w:type="dxa" w:w="120"/>
            </w:tcMar>
          </w:tcPr>
          <w:p>
            <w:pPr>
              <w:spacing w:before="120" w:after="120" w:line="288" w:lineRule="auto"/>
              <w:ind w:left="0"/>
              <w:jc w:val="center"/>
            </w:pPr>
          </w:p>
        </w:tc>
        <w:tc>
          <w:tcPr>
            <w:tcW w:w="12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特卫服务</w:t>
            </w:r>
          </w:p>
        </w:tc>
        <w:tc>
          <w:tcPr>
            <w:tcW w:w="5685" w:type="dxa"/>
            <w:tcMar>
              <w:top w:type="dxa" w:w="60"/>
              <w:left w:type="dxa" w:w="120"/>
              <w:bottom w:type="dxa" w:w="30"/>
              <w:right w:type="dxa" w:w="120"/>
            </w:tcMar>
          </w:tcPr>
          <w:p>
            <w:pPr>
              <w:numPr>
                <w:numId w:val="32"/>
              </w:numPr>
              <w:spacing w:before="120" w:after="120" w:line="288" w:lineRule="auto"/>
              <w:ind w:left="0"/>
              <w:jc w:val="left"/>
            </w:pPr>
            <w:r>
              <w:rPr>
                <w:rFonts w:eastAsia="等线" w:ascii="Arial" w:cs="Arial" w:hAnsi="Arial"/>
                <w:sz w:val="22"/>
              </w:rPr>
              <w:t>临时性特卫活动安排。</w:t>
            </w:r>
          </w:p>
        </w:tc>
      </w:tr>
    </w:tbl>
    <w:p>
      <w:pPr>
        <w:pStyle w:val="2"/>
        <w:spacing w:before="320" w:after="120" w:line="288" w:lineRule="auto"/>
        <w:ind w:left="0"/>
        <w:jc w:val="left"/>
        <w:outlineLvl w:val="1"/>
      </w:pPr>
      <w:bookmarkStart w:name="heading_5" w:id="5"/>
      <w:r>
        <w:rPr>
          <w:rFonts w:eastAsia="等线" w:ascii="Arial" w:cs="Arial" w:hAnsi="Arial"/>
          <w:color w:val="3370ff"/>
          <w:sz w:val="32"/>
        </w:rPr>
        <w:t xml:space="preserve">4.2 </w:t>
      </w:r>
      <w:r>
        <w:rPr>
          <w:rFonts w:eastAsia="等线" w:ascii="Arial" w:cs="Arial" w:hAnsi="Arial"/>
          <w:b w:val="true"/>
          <w:sz w:val="32"/>
        </w:rPr>
        <w:t>安全秩序管理要求</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650"/>
        <w:gridCol w:w="5610"/>
      </w:tblGrid>
      <w:tr>
        <w:tc>
          <w:tcPr>
            <w:tcW w:w="268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561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人防管理</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门岗</w:t>
            </w:r>
          </w:p>
        </w:tc>
        <w:tc>
          <w:tcPr>
            <w:tcW w:w="5610" w:type="dxa"/>
            <w:tcMar>
              <w:top w:type="dxa" w:w="60"/>
              <w:left w:type="dxa" w:w="120"/>
              <w:bottom w:type="dxa" w:w="30"/>
              <w:right w:type="dxa" w:w="120"/>
            </w:tcMar>
          </w:tcPr>
          <w:p>
            <w:pPr>
              <w:numPr>
                <w:numId w:val="33"/>
              </w:numPr>
              <w:spacing w:before="120" w:after="120" w:line="288" w:lineRule="auto"/>
              <w:ind w:left="0"/>
              <w:jc w:val="left"/>
            </w:pPr>
            <w:r>
              <w:rPr>
                <w:rFonts w:eastAsia="等线" w:ascii="Arial" w:cs="Arial" w:hAnsi="Arial"/>
                <w:sz w:val="22"/>
              </w:rPr>
              <w:t>外来人员出入物业服务区（监视区）时，应按规定对人员进出进行有效管控，做好记录，告知巡逻岗人员进行跟进。</w:t>
            </w:r>
          </w:p>
          <w:p>
            <w:pPr>
              <w:numPr>
                <w:numId w:val="34"/>
              </w:numPr>
              <w:spacing w:before="120" w:after="120" w:line="288" w:lineRule="auto"/>
              <w:ind w:left="0"/>
              <w:jc w:val="left"/>
            </w:pPr>
            <w:r>
              <w:rPr>
                <w:rFonts w:eastAsia="等线" w:ascii="Arial" w:cs="Arial" w:hAnsi="Arial"/>
                <w:sz w:val="22"/>
              </w:rPr>
              <w:t>物品进入物业服务区（监视区）时，应按规定对物品进出进行有效管控；大宗物品进入时还应进行询问并在《值班记录表》上做好记录：大件物品搬出应查询《放行条》或得到客户确认并在《值班记录表》记录后方可放行。</w:t>
            </w:r>
          </w:p>
          <w:p>
            <w:pPr>
              <w:numPr>
                <w:numId w:val="35"/>
              </w:numPr>
              <w:spacing w:before="120" w:after="120" w:line="288" w:lineRule="auto"/>
              <w:ind w:left="0"/>
              <w:jc w:val="left"/>
            </w:pPr>
            <w:r>
              <w:rPr>
                <w:rFonts w:eastAsia="等线" w:ascii="Arial" w:cs="Arial" w:hAnsi="Arial"/>
                <w:sz w:val="22"/>
              </w:rPr>
              <w:t>应熟悉危险品相关法律法规，如《危险化学品安全管理条例》规定的管理要求；并对危险品出入进行有效管控，在《值班记录表》上做好记录。</w:t>
            </w:r>
          </w:p>
          <w:p>
            <w:pPr>
              <w:numPr>
                <w:numId w:val="36"/>
              </w:numPr>
              <w:spacing w:before="120" w:after="120" w:line="288" w:lineRule="auto"/>
              <w:ind w:left="0"/>
              <w:jc w:val="left"/>
            </w:pPr>
            <w:r>
              <w:rPr>
                <w:rFonts w:eastAsia="等线" w:ascii="Arial" w:cs="Arial" w:hAnsi="Arial"/>
                <w:sz w:val="22"/>
              </w:rPr>
              <w:t>当值秩序维护人员应维护好现场门岗及所管周边秩序。</w:t>
            </w:r>
          </w:p>
          <w:p>
            <w:pPr>
              <w:numPr>
                <w:numId w:val="37"/>
              </w:numPr>
              <w:spacing w:before="120" w:after="120" w:line="288" w:lineRule="auto"/>
              <w:ind w:left="0"/>
              <w:jc w:val="left"/>
            </w:pPr>
            <w:r>
              <w:rPr>
                <w:rFonts w:eastAsia="等线" w:ascii="Arial" w:cs="Arial" w:hAnsi="Arial"/>
                <w:sz w:val="22"/>
              </w:rPr>
              <w:t>门岗、岗亭值班室应进行相关制度的上墙措施。</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巡逻岗</w:t>
            </w:r>
          </w:p>
        </w:tc>
        <w:tc>
          <w:tcPr>
            <w:tcW w:w="5610" w:type="dxa"/>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sz w:val="22"/>
              </w:rPr>
              <w:t>熟悉物业项目的基本情况（如楼宇结构、消防设施、技防设施等）。</w:t>
            </w:r>
          </w:p>
          <w:p>
            <w:pPr>
              <w:numPr>
                <w:numId w:val="39"/>
              </w:numPr>
              <w:spacing w:before="120" w:after="120" w:line="288" w:lineRule="auto"/>
              <w:ind w:left="0"/>
              <w:jc w:val="left"/>
            </w:pPr>
            <w:r>
              <w:rPr>
                <w:rFonts w:eastAsia="等线" w:ascii="Arial" w:cs="Arial" w:hAnsi="Arial"/>
                <w:sz w:val="22"/>
              </w:rPr>
              <w:t>严格按规定路线和方式巡逻、签到，每班应至少两小时巡逻一次，特殊天气应加大对重点区域的巡查力度，并填写《巡逻签到表》；未签到或不及时签到的，在备注栏注明原因。</w:t>
            </w:r>
          </w:p>
          <w:p>
            <w:pPr>
              <w:numPr>
                <w:numId w:val="40"/>
              </w:numPr>
              <w:spacing w:before="120" w:after="120" w:line="288" w:lineRule="auto"/>
              <w:ind w:left="0"/>
              <w:jc w:val="left"/>
            </w:pPr>
            <w:r>
              <w:rPr>
                <w:rFonts w:eastAsia="等线" w:ascii="Arial" w:cs="Arial" w:hAnsi="Arial"/>
                <w:sz w:val="22"/>
              </w:rPr>
              <w:t>应对公共、装修施工、停车场（库）及重点防范等区域巡查并落实消防及安全巡查工作；及时发现并处理杂物乱堆放、共用部位/区域被占用、噪音超标、乱摆卖、车辆乱停乱放、建筑设施坏损等情况，将情况上报秩序领班/主管，并在《值班记录表》上进行记录。</w:t>
            </w:r>
          </w:p>
          <w:p>
            <w:pPr>
              <w:numPr>
                <w:numId w:val="41"/>
              </w:numPr>
              <w:spacing w:before="120" w:after="120" w:line="288" w:lineRule="auto"/>
              <w:ind w:left="0"/>
              <w:jc w:val="left"/>
            </w:pPr>
            <w:r>
              <w:rPr>
                <w:rFonts w:eastAsia="等线" w:ascii="Arial" w:cs="Arial" w:hAnsi="Arial"/>
                <w:sz w:val="22"/>
              </w:rPr>
              <w:t>准确识别外来人员，发现可疑人员应主动询问并对其行踪进行跟进。</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监控岗</w:t>
            </w:r>
          </w:p>
        </w:tc>
        <w:tc>
          <w:tcPr>
            <w:tcW w:w="5610" w:type="dxa"/>
            <w:tcMar>
              <w:top w:type="dxa" w:w="60"/>
              <w:left w:type="dxa" w:w="120"/>
              <w:bottom w:type="dxa" w:w="30"/>
              <w:right w:type="dxa" w:w="120"/>
            </w:tcMar>
          </w:tcPr>
          <w:p>
            <w:pPr>
              <w:numPr>
                <w:numId w:val="42"/>
              </w:numPr>
              <w:spacing w:before="120" w:after="120" w:line="288" w:lineRule="auto"/>
              <w:ind w:left="0"/>
              <w:jc w:val="left"/>
            </w:pPr>
            <w:r>
              <w:rPr>
                <w:rFonts w:eastAsia="等线" w:ascii="Arial" w:cs="Arial" w:hAnsi="Arial"/>
                <w:sz w:val="22"/>
              </w:rPr>
              <w:t>监控岗人员应坚守岗位，恪尽职守，严禁随意离开岗位区域。</w:t>
            </w:r>
          </w:p>
          <w:p>
            <w:pPr>
              <w:numPr>
                <w:numId w:val="43"/>
              </w:numPr>
              <w:spacing w:before="120" w:after="120" w:line="288" w:lineRule="auto"/>
              <w:ind w:left="0"/>
              <w:jc w:val="left"/>
            </w:pPr>
            <w:r>
              <w:rPr>
                <w:rFonts w:eastAsia="等线" w:ascii="Arial" w:cs="Arial" w:hAnsi="Arial"/>
                <w:sz w:val="22"/>
              </w:rPr>
              <w:t>应熟悉掌握服务区域内每台摄像头分布的具体位置以及各自所监控的范围，并对所有摄像头、监视器、分割画面、录像等设备进行编目编号，便于操作和实施统一管理。</w:t>
            </w:r>
          </w:p>
          <w:p>
            <w:pPr>
              <w:numPr>
                <w:numId w:val="44"/>
              </w:numPr>
              <w:spacing w:before="120" w:after="120" w:line="288" w:lineRule="auto"/>
              <w:ind w:left="0"/>
              <w:jc w:val="left"/>
            </w:pPr>
            <w:r>
              <w:rPr>
                <w:rFonts w:eastAsia="等线" w:ascii="Arial" w:cs="Arial" w:hAnsi="Arial"/>
                <w:sz w:val="22"/>
              </w:rPr>
              <w:t>应保持高度的警惕性，密切注视监视画面，随时掌握巡逻人员的动态情况。当出现报警信号或发现异常情况时，确定事发具体位后应立即向巡逻员发出指令。</w:t>
            </w:r>
          </w:p>
          <w:p>
            <w:pPr>
              <w:numPr>
                <w:numId w:val="45"/>
              </w:numPr>
              <w:spacing w:before="120" w:after="120" w:line="288" w:lineRule="auto"/>
              <w:ind w:left="0"/>
              <w:jc w:val="left"/>
            </w:pPr>
            <w:r>
              <w:rPr>
                <w:rFonts w:eastAsia="等线" w:ascii="Arial" w:cs="Arial" w:hAnsi="Arial"/>
                <w:sz w:val="22"/>
              </w:rPr>
              <w:t>发生紧急情况时，应充分发挥中央控制室的调控职能作用，及时组织协调各岗位处置突发事件，并在《值班记录表》上做好相关记录。</w:t>
            </w:r>
          </w:p>
          <w:p>
            <w:pPr>
              <w:numPr>
                <w:numId w:val="46"/>
              </w:numPr>
              <w:spacing w:before="120" w:after="120" w:line="288" w:lineRule="auto"/>
              <w:ind w:left="0"/>
              <w:jc w:val="left"/>
            </w:pPr>
            <w:r>
              <w:rPr>
                <w:rFonts w:eastAsia="等线" w:ascii="Arial" w:cs="Arial" w:hAnsi="Arial"/>
                <w:sz w:val="22"/>
              </w:rPr>
              <w:t>应熟悉并掌握相关安防系统（入侵报警、视频安防、出入口控制等系统）的操作并检查完好情况。</w:t>
            </w:r>
          </w:p>
          <w:p>
            <w:pPr>
              <w:numPr>
                <w:numId w:val="47"/>
              </w:numPr>
              <w:spacing w:before="120" w:after="120" w:line="288" w:lineRule="auto"/>
              <w:ind w:left="0"/>
              <w:jc w:val="left"/>
            </w:pPr>
            <w:r>
              <w:rPr>
                <w:rFonts w:eastAsia="等线" w:ascii="Arial" w:cs="Arial" w:hAnsi="Arial"/>
                <w:sz w:val="22"/>
              </w:rPr>
              <w:t>应检查监控室通讯系统（如五方通话等）的使用状态完好情况并按相关流程处理，如电梯困人应进行安抚工作保障通讯持续直到救援结束。</w:t>
            </w:r>
          </w:p>
          <w:p>
            <w:pPr>
              <w:numPr>
                <w:numId w:val="48"/>
              </w:numPr>
              <w:spacing w:before="120" w:after="120" w:line="288" w:lineRule="auto"/>
              <w:ind w:left="0"/>
              <w:jc w:val="left"/>
            </w:pPr>
            <w:r>
              <w:rPr>
                <w:rFonts w:eastAsia="等线" w:ascii="Arial" w:cs="Arial" w:hAnsi="Arial"/>
                <w:sz w:val="22"/>
              </w:rPr>
              <w:t>应保持室内肃静整洁，未经领导允许，禁止无关人员进入监控室。需进出的人员应在《消防（监控）中心进出人员登记表》做好记录；如需要查看录像，需要秩序专业负责人或物业项目经理同意才能查看，并填写《视频信息查阅、复制调取记录表》；每隔 30 分钟，对编号视频画面观察。</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技防管理</w:t>
            </w: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入侵报警系统</w:t>
            </w:r>
          </w:p>
        </w:tc>
        <w:tc>
          <w:tcPr>
            <w:tcW w:w="5610" w:type="dxa"/>
            <w:tcMar>
              <w:top w:type="dxa" w:w="60"/>
              <w:left w:type="dxa" w:w="120"/>
              <w:bottom w:type="dxa" w:w="30"/>
              <w:right w:type="dxa" w:w="120"/>
            </w:tcMar>
          </w:tcPr>
          <w:p>
            <w:pPr>
              <w:numPr>
                <w:numId w:val="49"/>
              </w:numPr>
              <w:spacing w:before="120" w:after="120" w:line="288" w:lineRule="auto"/>
              <w:ind w:left="0"/>
              <w:jc w:val="left"/>
            </w:pPr>
            <w:r>
              <w:rPr>
                <w:rFonts w:eastAsia="等线" w:ascii="Arial" w:cs="Arial" w:hAnsi="Arial"/>
                <w:sz w:val="22"/>
              </w:rPr>
              <w:t>每天应对入侵报警系统在不同方位测试一次，测试入侵探测和报警的实时有效性，发现系统故障应及时与维修人员沟通协调处理。</w:t>
            </w:r>
          </w:p>
          <w:p>
            <w:pPr>
              <w:numPr>
                <w:numId w:val="50"/>
              </w:numPr>
              <w:spacing w:before="120" w:after="120" w:line="288" w:lineRule="auto"/>
              <w:ind w:left="0"/>
              <w:jc w:val="left"/>
            </w:pPr>
            <w:r>
              <w:rPr>
                <w:rFonts w:eastAsia="等线" w:ascii="Arial" w:cs="Arial" w:hAnsi="Arial"/>
                <w:sz w:val="22"/>
              </w:rPr>
              <w:t>不得漏报入侵报警系统的报警信息。</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视频安防系统</w:t>
            </w:r>
          </w:p>
        </w:tc>
        <w:tc>
          <w:tcPr>
            <w:tcW w:w="5610" w:type="dxa"/>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sz w:val="22"/>
              </w:rPr>
              <w:t>每周应对每个摄像头的监控区域测试一次，测试视频探测、视频监视、图像显示、记录与回放的实时有效性，发现系统故障应及时与维修人员沟通协调处理。</w:t>
            </w:r>
          </w:p>
          <w:p>
            <w:pPr>
              <w:numPr>
                <w:numId w:val="52"/>
              </w:numPr>
              <w:spacing w:before="120" w:after="120" w:line="288" w:lineRule="auto"/>
              <w:ind w:left="0"/>
              <w:jc w:val="left"/>
            </w:pPr>
            <w:r>
              <w:rPr>
                <w:rFonts w:eastAsia="等线" w:ascii="Arial" w:cs="Arial" w:hAnsi="Arial"/>
                <w:sz w:val="22"/>
              </w:rPr>
              <w:t>未经物业项目经理批准不得擅自调整监控范围。</w:t>
            </w:r>
          </w:p>
          <w:p>
            <w:pPr>
              <w:numPr>
                <w:numId w:val="53"/>
              </w:numPr>
              <w:spacing w:before="120" w:after="120" w:line="288" w:lineRule="auto"/>
              <w:ind w:left="0"/>
              <w:jc w:val="left"/>
            </w:pPr>
            <w:r>
              <w:rPr>
                <w:rFonts w:eastAsia="等线" w:ascii="Arial" w:cs="Arial" w:hAnsi="Arial"/>
                <w:sz w:val="22"/>
              </w:rPr>
              <w:t>发生突发事件时应将摄像头调至事件现场并重点监控。</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出入口控制系统</w:t>
            </w:r>
          </w:p>
        </w:tc>
        <w:tc>
          <w:tcPr>
            <w:tcW w:w="5610" w:type="dxa"/>
            <w:tcMar>
              <w:top w:type="dxa" w:w="60"/>
              <w:left w:type="dxa" w:w="120"/>
              <w:bottom w:type="dxa" w:w="30"/>
              <w:right w:type="dxa" w:w="120"/>
            </w:tcMar>
          </w:tcPr>
          <w:p>
            <w:pPr>
              <w:numPr>
                <w:numId w:val="54"/>
              </w:numPr>
              <w:spacing w:before="120" w:after="120" w:line="288" w:lineRule="auto"/>
              <w:ind w:left="0"/>
              <w:jc w:val="left"/>
            </w:pPr>
            <w:r>
              <w:rPr>
                <w:rFonts w:eastAsia="等线" w:ascii="Arial" w:cs="Arial" w:hAnsi="Arial"/>
                <w:sz w:val="22"/>
              </w:rPr>
              <w:t>每天应对出入口控制系统（防盗安全门、访客对讲系统、可视对讲系统等）进行测试，测试其进出的实时控制与管理的可靠性，发现系统故障应及时填写《值班记录表》，并上报维修人员维修处理。</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安全监控中心</w:t>
            </w:r>
          </w:p>
        </w:tc>
        <w:tc>
          <w:tcPr>
            <w:tcW w:w="5610" w:type="dxa"/>
            <w:tcMar>
              <w:top w:type="dxa" w:w="60"/>
              <w:left w:type="dxa" w:w="120"/>
              <w:bottom w:type="dxa" w:w="30"/>
              <w:right w:type="dxa" w:w="120"/>
            </w:tcMar>
          </w:tcPr>
          <w:p>
            <w:pPr>
              <w:numPr>
                <w:numId w:val="55"/>
              </w:numPr>
              <w:spacing w:before="120" w:after="120" w:line="288" w:lineRule="auto"/>
              <w:ind w:left="0"/>
              <w:jc w:val="left"/>
            </w:pPr>
            <w:r>
              <w:rPr>
                <w:rFonts w:eastAsia="等线" w:ascii="Arial" w:cs="Arial" w:hAnsi="Arial"/>
                <w:sz w:val="22"/>
              </w:rPr>
              <w:t>监控中心为禁区布防。</w:t>
            </w:r>
          </w:p>
          <w:p>
            <w:pPr>
              <w:numPr>
                <w:numId w:val="56"/>
              </w:numPr>
              <w:spacing w:before="120" w:after="120" w:line="288" w:lineRule="auto"/>
              <w:ind w:left="0"/>
              <w:jc w:val="left"/>
            </w:pPr>
            <w:r>
              <w:rPr>
                <w:rFonts w:eastAsia="等线" w:ascii="Arial" w:cs="Arial" w:hAnsi="Arial"/>
                <w:sz w:val="22"/>
              </w:rPr>
              <w:t>安全管理系统应保持二十四小时运行。</w:t>
            </w:r>
          </w:p>
          <w:p>
            <w:pPr>
              <w:numPr>
                <w:numId w:val="57"/>
              </w:numPr>
              <w:spacing w:before="120" w:after="120" w:line="288" w:lineRule="auto"/>
              <w:ind w:left="0"/>
              <w:jc w:val="left"/>
            </w:pPr>
            <w:r>
              <w:rPr>
                <w:rFonts w:eastAsia="等线" w:ascii="Arial" w:cs="Arial" w:hAnsi="Arial"/>
                <w:sz w:val="22"/>
              </w:rPr>
              <w:t>监控中心应设置二十四小时值班。</w:t>
            </w:r>
          </w:p>
          <w:p>
            <w:pPr>
              <w:numPr>
                <w:numId w:val="58"/>
              </w:numPr>
              <w:spacing w:before="120" w:after="120" w:line="288" w:lineRule="auto"/>
              <w:ind w:left="0"/>
              <w:jc w:val="left"/>
            </w:pPr>
            <w:r>
              <w:rPr>
                <w:rFonts w:eastAsia="等线" w:ascii="Arial" w:cs="Arial" w:hAnsi="Arial"/>
                <w:sz w:val="22"/>
              </w:rPr>
              <w:t>监控中心应配备有线和无线通信工具。</w:t>
            </w:r>
          </w:p>
          <w:p>
            <w:pPr>
              <w:numPr>
                <w:numId w:val="59"/>
              </w:numPr>
              <w:spacing w:before="120" w:after="120" w:line="288" w:lineRule="auto"/>
              <w:ind w:left="0"/>
              <w:jc w:val="left"/>
            </w:pPr>
            <w:r>
              <w:rPr>
                <w:rFonts w:eastAsia="等线" w:ascii="Arial" w:cs="Arial" w:hAnsi="Arial"/>
                <w:sz w:val="22"/>
              </w:rPr>
              <w:t>未经秩序专业负责人及物业项目经理许可，监控资料不得擅自删除。</w:t>
            </w:r>
          </w:p>
          <w:p>
            <w:pPr>
              <w:numPr>
                <w:numId w:val="60"/>
              </w:numPr>
              <w:spacing w:before="120" w:after="120" w:line="288" w:lineRule="auto"/>
              <w:ind w:left="0"/>
              <w:jc w:val="left"/>
            </w:pPr>
            <w:r>
              <w:rPr>
                <w:rFonts w:eastAsia="等线" w:ascii="Arial" w:cs="Arial" w:hAnsi="Arial"/>
                <w:sz w:val="22"/>
              </w:rPr>
              <w:t>重要监控资料应及时刻录光盘并归档保存。</w:t>
            </w:r>
          </w:p>
          <w:p>
            <w:pPr>
              <w:numPr>
                <w:numId w:val="61"/>
              </w:numPr>
              <w:spacing w:before="120" w:after="120" w:line="288" w:lineRule="auto"/>
              <w:ind w:left="0"/>
              <w:jc w:val="left"/>
            </w:pPr>
            <w:r>
              <w:rPr>
                <w:rFonts w:eastAsia="等线" w:ascii="Arial" w:cs="Arial" w:hAnsi="Arial"/>
                <w:sz w:val="22"/>
              </w:rPr>
              <w:t>监控录像保存时间应不少于一个月，特殊区域按当地要求，如深圳需三个月。</w:t>
            </w:r>
          </w:p>
          <w:p>
            <w:pPr>
              <w:numPr>
                <w:numId w:val="62"/>
              </w:numPr>
              <w:spacing w:before="120" w:after="120" w:line="288" w:lineRule="auto"/>
              <w:ind w:left="0"/>
              <w:jc w:val="left"/>
            </w:pPr>
            <w:r>
              <w:rPr>
                <w:rFonts w:eastAsia="等线" w:ascii="Arial" w:cs="Arial" w:hAnsi="Arial"/>
                <w:sz w:val="22"/>
              </w:rPr>
              <w:t>涉及重大刑事、治安案件的监控资料，未经公安机关允许不得泄露。</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防爆安全检查系统</w:t>
            </w:r>
          </w:p>
        </w:tc>
        <w:tc>
          <w:tcPr>
            <w:tcW w:w="5610" w:type="dxa"/>
            <w:tcMar>
              <w:top w:type="dxa" w:w="60"/>
              <w:left w:type="dxa" w:w="120"/>
              <w:bottom w:type="dxa" w:w="30"/>
              <w:right w:type="dxa" w:w="120"/>
            </w:tcMar>
          </w:tcPr>
          <w:p>
            <w:pPr>
              <w:numPr>
                <w:numId w:val="63"/>
              </w:numPr>
              <w:spacing w:before="120" w:after="120" w:line="288" w:lineRule="auto"/>
              <w:ind w:left="0"/>
              <w:jc w:val="left"/>
            </w:pPr>
            <w:r>
              <w:rPr>
                <w:rFonts w:eastAsia="等线" w:ascii="Arial" w:cs="Arial" w:hAnsi="Arial"/>
                <w:sz w:val="22"/>
              </w:rPr>
              <w:t>检查人员携带的物品是否含有爆炸物、武器和其他违禁品的电子设备系统。</w:t>
            </w:r>
          </w:p>
          <w:p>
            <w:pPr>
              <w:numPr>
                <w:numId w:val="64"/>
              </w:numPr>
              <w:spacing w:before="120" w:after="120" w:line="288" w:lineRule="auto"/>
              <w:ind w:left="0"/>
              <w:jc w:val="left"/>
            </w:pPr>
            <w:r>
              <w:rPr>
                <w:rFonts w:eastAsia="等线" w:ascii="Arial" w:cs="Arial" w:hAnsi="Arial"/>
                <w:sz w:val="22"/>
              </w:rPr>
              <w:t>重要集会场所应设置临时/永久防爆安全检查系统。</w:t>
            </w:r>
          </w:p>
          <w:p>
            <w:pPr>
              <w:numPr>
                <w:numId w:val="65"/>
              </w:numPr>
              <w:spacing w:before="120" w:after="120" w:line="288" w:lineRule="auto"/>
              <w:ind w:left="0"/>
              <w:jc w:val="left"/>
            </w:pPr>
            <w:r>
              <w:rPr>
                <w:rFonts w:eastAsia="等线" w:ascii="Arial" w:cs="Arial" w:hAnsi="Arial"/>
                <w:sz w:val="22"/>
              </w:rPr>
              <w:t>是否使用防爆安全检查系统，应充分与当地公安机关沟通并须获取支持。</w:t>
            </w:r>
          </w:p>
        </w:tc>
      </w:tr>
      <w:tr>
        <w:tc>
          <w:tcPr>
            <w:tcW w:w="268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异常情况及突发事件处理</w:t>
            </w:r>
          </w:p>
        </w:tc>
        <w:tc>
          <w:tcPr>
            <w:tcW w:w="1650" w:type="dxa"/>
            <w:hMerge w:val="continue"/>
            <w:tcMar>
              <w:top w:type="dxa" w:w="60"/>
              <w:left w:type="dxa" w:w="120"/>
              <w:bottom w:type="dxa" w:w="30"/>
              <w:right w:type="dxa" w:w="120"/>
            </w:tcMar>
          </w:tcPr>
          <w:p>
            <w:pPr>
              <w:spacing w:before="120" w:after="120" w:line="288" w:lineRule="auto"/>
              <w:ind w:left="0"/>
              <w:jc w:val="left"/>
            </w:pPr>
          </w:p>
        </w:tc>
        <w:tc>
          <w:tcPr>
            <w:tcW w:w="5610" w:type="dxa"/>
            <w:tcMar>
              <w:top w:type="dxa" w:w="60"/>
              <w:left w:type="dxa" w:w="120"/>
              <w:bottom w:type="dxa" w:w="30"/>
              <w:right w:type="dxa" w:w="120"/>
            </w:tcMar>
          </w:tcPr>
          <w:p>
            <w:pPr>
              <w:numPr>
                <w:numId w:val="66"/>
              </w:numPr>
              <w:spacing w:before="120" w:after="120" w:line="288" w:lineRule="auto"/>
              <w:ind w:left="0"/>
              <w:jc w:val="left"/>
            </w:pPr>
            <w:r>
              <w:rPr>
                <w:rFonts w:eastAsia="等线" w:ascii="Arial" w:cs="Arial" w:hAnsi="Arial"/>
                <w:sz w:val="22"/>
              </w:rPr>
              <w:t>门岗、巡逻岗、监控岗应及时发现并处理各类事故隐患及突发事件，启动对应应急预案流程，超出职权或无法处理的情况应及时汇报领导，并在《值班记录表》上做好记录。</w:t>
            </w:r>
          </w:p>
        </w:tc>
      </w:tr>
    </w:tbl>
    <w:p>
      <w:pPr>
        <w:pStyle w:val="2"/>
        <w:spacing w:before="320" w:after="120" w:line="288" w:lineRule="auto"/>
        <w:ind w:left="0"/>
        <w:jc w:val="left"/>
        <w:outlineLvl w:val="1"/>
      </w:pPr>
      <w:bookmarkStart w:name="heading_6" w:id="6"/>
      <w:r>
        <w:rPr>
          <w:rFonts w:eastAsia="等线" w:ascii="Arial" w:cs="Arial" w:hAnsi="Arial"/>
          <w:color w:val="3370ff"/>
          <w:sz w:val="32"/>
        </w:rPr>
        <w:t xml:space="preserve">4.3 </w:t>
      </w:r>
      <w:r>
        <w:rPr>
          <w:rFonts w:eastAsia="等线" w:ascii="Arial" w:cs="Arial" w:hAnsi="Arial"/>
          <w:b w:val="true"/>
          <w:sz w:val="32"/>
        </w:rPr>
        <w:t>安全布防管理要求</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190"/>
        <w:gridCol w:w="6090"/>
      </w:tblGrid>
      <w:tr>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60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190" w:type="dxa"/>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布防调研分析</w:t>
            </w:r>
          </w:p>
          <w:p>
            <w:pPr>
              <w:spacing w:before="120" w:after="120" w:line="288" w:lineRule="auto"/>
              <w:ind w:left="0"/>
              <w:jc w:val="center"/>
            </w:pPr>
          </w:p>
        </w:tc>
        <w:tc>
          <w:tcPr>
            <w:tcW w:w="6090" w:type="dxa"/>
            <w:tcMar>
              <w:top w:type="dxa" w:w="60"/>
              <w:left w:type="dxa" w:w="120"/>
              <w:bottom w:type="dxa" w:w="30"/>
              <w:right w:type="dxa" w:w="120"/>
            </w:tcMar>
          </w:tcPr>
          <w:p>
            <w:pPr>
              <w:numPr>
                <w:numId w:val="67"/>
              </w:numPr>
              <w:spacing w:before="120" w:after="120" w:line="288" w:lineRule="auto"/>
              <w:ind w:left="0"/>
              <w:jc w:val="left"/>
            </w:pPr>
            <w:r>
              <w:rPr>
                <w:rFonts w:eastAsia="等线" w:ascii="Arial" w:cs="Arial" w:hAnsi="Arial"/>
                <w:sz w:val="22"/>
              </w:rPr>
              <w:t>布防方案拟定前应对物业项目的安全防护进行现场勘察和安全因素的调研分析：</w:t>
            </w:r>
          </w:p>
          <w:p>
            <w:pPr>
              <w:numPr>
                <w:numId w:val="68"/>
              </w:numPr>
              <w:spacing w:before="120" w:after="120" w:line="288" w:lineRule="auto"/>
              <w:ind w:left="453"/>
              <w:jc w:val="left"/>
            </w:pPr>
            <w:r>
              <w:rPr>
                <w:rFonts w:eastAsia="等线" w:ascii="Arial" w:cs="Arial" w:hAnsi="Arial"/>
                <w:sz w:val="22"/>
              </w:rPr>
              <w:t>物业项目的基本情况：建筑平面图、使用功能分配图、通道、出入口、电（楼）梯、门窗、管道、墙体及周边，建设单位配置的安全防护设施。</w:t>
            </w:r>
          </w:p>
          <w:p>
            <w:pPr>
              <w:numPr>
                <w:numId w:val="69"/>
              </w:numPr>
              <w:spacing w:before="120" w:after="120" w:line="288" w:lineRule="auto"/>
              <w:ind w:left="453"/>
              <w:jc w:val="left"/>
            </w:pPr>
            <w:r>
              <w:rPr>
                <w:rFonts w:eastAsia="等线" w:ascii="Arial" w:cs="Arial" w:hAnsi="Arial"/>
                <w:sz w:val="22"/>
              </w:rPr>
              <w:t>物业项目所在地及周边的环境情况：周边地形地物、交通、社情民风及社会治安情况。</w:t>
            </w:r>
          </w:p>
          <w:p>
            <w:pPr>
              <w:numPr>
                <w:numId w:val="70"/>
              </w:numPr>
              <w:spacing w:before="120" w:after="120" w:line="288" w:lineRule="auto"/>
              <w:ind w:left="453"/>
              <w:jc w:val="left"/>
            </w:pPr>
            <w:r>
              <w:rPr>
                <w:rFonts w:eastAsia="等线" w:ascii="Arial" w:cs="Arial" w:hAnsi="Arial"/>
                <w:sz w:val="22"/>
              </w:rPr>
              <w:t>客户群体的基本情况：年龄、学历、职业，业主或承租户等情况。</w:t>
            </w:r>
          </w:p>
          <w:p>
            <w:pPr>
              <w:numPr>
                <w:numId w:val="71"/>
              </w:numPr>
              <w:spacing w:before="120" w:after="120" w:line="288" w:lineRule="auto"/>
              <w:ind w:left="453"/>
              <w:jc w:val="left"/>
            </w:pPr>
            <w:r>
              <w:rPr>
                <w:rFonts w:eastAsia="等线" w:ascii="Arial" w:cs="Arial" w:hAnsi="Arial"/>
                <w:sz w:val="22"/>
              </w:rPr>
              <w:t>当地法律法规情况：劳动时间、职业安全等等。</w:t>
            </w:r>
          </w:p>
          <w:p>
            <w:pPr>
              <w:numPr>
                <w:numId w:val="72"/>
              </w:numPr>
              <w:spacing w:before="120" w:after="120" w:line="288" w:lineRule="auto"/>
              <w:ind w:left="0"/>
              <w:jc w:val="left"/>
            </w:pPr>
            <w:r>
              <w:rPr>
                <w:rFonts w:eastAsia="等线" w:ascii="Arial" w:cs="Arial" w:hAnsi="Arial"/>
                <w:sz w:val="22"/>
              </w:rPr>
              <w:t>对防护对象（单位、区域、部位）受到威胁或承受风险的程度应进行全面评估，识别关键危险源。</w:t>
            </w:r>
          </w:p>
          <w:p>
            <w:pPr>
              <w:numPr>
                <w:numId w:val="73"/>
              </w:numPr>
              <w:spacing w:before="120" w:after="120" w:line="288" w:lineRule="auto"/>
              <w:ind w:left="0"/>
              <w:jc w:val="left"/>
            </w:pPr>
            <w:r>
              <w:rPr>
                <w:rFonts w:eastAsia="等线" w:ascii="Arial" w:cs="Arial" w:hAnsi="Arial"/>
                <w:sz w:val="22"/>
              </w:rPr>
              <w:t>确定服务区域的周界、禁区、防护区、监视区的位置。</w:t>
            </w:r>
          </w:p>
          <w:p>
            <w:pPr>
              <w:numPr>
                <w:numId w:val="74"/>
              </w:numPr>
              <w:spacing w:before="120" w:after="120" w:line="288" w:lineRule="auto"/>
              <w:ind w:left="0"/>
              <w:jc w:val="left"/>
            </w:pPr>
            <w:r>
              <w:rPr>
                <w:rFonts w:eastAsia="等线" w:ascii="Arial" w:cs="Arial" w:hAnsi="Arial"/>
                <w:sz w:val="22"/>
              </w:rPr>
              <w:t>应编制布防区域图（详见《安全布防方案》）。</w:t>
            </w:r>
          </w:p>
        </w:tc>
      </w:tr>
      <w:tr>
        <w:tc>
          <w:tcPr>
            <w:tcW w:w="2190" w:type="dxa"/>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防护区域</w:t>
            </w:r>
          </w:p>
          <w:p>
            <w:pPr>
              <w:spacing w:before="120" w:after="120" w:line="288" w:lineRule="auto"/>
              <w:ind w:left="0"/>
              <w:jc w:val="center"/>
            </w:pPr>
          </w:p>
        </w:tc>
        <w:tc>
          <w:tcPr>
            <w:tcW w:w="6090" w:type="dxa"/>
            <w:tcMar>
              <w:top w:type="dxa" w:w="60"/>
              <w:left w:type="dxa" w:w="120"/>
              <w:bottom w:type="dxa" w:w="30"/>
              <w:right w:type="dxa" w:w="120"/>
            </w:tcMar>
          </w:tcPr>
          <w:p>
            <w:pPr>
              <w:numPr>
                <w:numId w:val="75"/>
              </w:numPr>
              <w:spacing w:before="120" w:after="120" w:line="288" w:lineRule="auto"/>
              <w:ind w:left="0"/>
              <w:jc w:val="left"/>
            </w:pPr>
            <w:r>
              <w:rPr>
                <w:rFonts w:eastAsia="等线" w:ascii="Arial" w:cs="Arial" w:hAnsi="Arial"/>
                <w:sz w:val="22"/>
              </w:rPr>
              <w:t>禁区：物业服务区的客户自有物业区域，安全监控中心、设备房等。</w:t>
            </w:r>
          </w:p>
          <w:p>
            <w:pPr>
              <w:numPr>
                <w:numId w:val="76"/>
              </w:numPr>
              <w:spacing w:before="120" w:after="120" w:line="288" w:lineRule="auto"/>
              <w:ind w:left="0"/>
              <w:jc w:val="left"/>
            </w:pPr>
            <w:r>
              <w:rPr>
                <w:rFonts w:eastAsia="等线" w:ascii="Arial" w:cs="Arial" w:hAnsi="Arial"/>
                <w:sz w:val="22"/>
              </w:rPr>
              <w:t xml:space="preserve">防护区：物业本体共用区域、室内外停车场。 </w:t>
            </w:r>
          </w:p>
          <w:p>
            <w:pPr>
              <w:numPr>
                <w:numId w:val="77"/>
              </w:numPr>
              <w:spacing w:before="120" w:after="120" w:line="288" w:lineRule="auto"/>
              <w:ind w:left="0"/>
              <w:jc w:val="left"/>
            </w:pPr>
            <w:r>
              <w:rPr>
                <w:rFonts w:eastAsia="等线" w:ascii="Arial" w:cs="Arial" w:hAnsi="Arial"/>
                <w:sz w:val="22"/>
              </w:rPr>
              <w:t>监视区：物业本体以外，物业项目边界以内的区域，以及公共建筑的公共区域。</w:t>
            </w:r>
          </w:p>
        </w:tc>
      </w:tr>
      <w:tr>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布防手段</w:t>
            </w:r>
          </w:p>
        </w:tc>
        <w:tc>
          <w:tcPr>
            <w:tcW w:w="6090" w:type="dxa"/>
            <w:tcMar>
              <w:top w:type="dxa" w:w="60"/>
              <w:left w:type="dxa" w:w="120"/>
              <w:bottom w:type="dxa" w:w="30"/>
              <w:right w:type="dxa" w:w="120"/>
            </w:tcMar>
          </w:tcPr>
          <w:p>
            <w:pPr>
              <w:numPr>
                <w:numId w:val="78"/>
              </w:numPr>
              <w:spacing w:before="120" w:after="120" w:line="288" w:lineRule="auto"/>
              <w:ind w:left="0"/>
              <w:jc w:val="left"/>
            </w:pPr>
            <w:r>
              <w:rPr>
                <w:rFonts w:eastAsia="等线" w:ascii="Arial" w:cs="Arial" w:hAnsi="Arial"/>
                <w:sz w:val="22"/>
              </w:rPr>
              <w:t>明确禁区、防护区、监视区的周界防护手段：实体防护（围栏、防盗门窗等）、电子防护（出入口控制系统、红外线、访客对讲、视频安防监控、停车场管理系统等）。</w:t>
            </w:r>
          </w:p>
          <w:p>
            <w:pPr>
              <w:numPr>
                <w:numId w:val="79"/>
              </w:numPr>
              <w:spacing w:before="120" w:after="120" w:line="288" w:lineRule="auto"/>
              <w:ind w:left="0"/>
              <w:jc w:val="left"/>
            </w:pPr>
            <w:r>
              <w:rPr>
                <w:rFonts w:eastAsia="等线" w:ascii="Arial" w:cs="Arial" w:hAnsi="Arial"/>
                <w:sz w:val="22"/>
              </w:rPr>
              <w:t>明确防护区、监视区公共区域的电子防护设施（视频安防系统、电子巡更系统等）。</w:t>
            </w:r>
          </w:p>
          <w:p>
            <w:pPr>
              <w:numPr>
                <w:numId w:val="80"/>
              </w:numPr>
              <w:spacing w:before="120" w:after="120" w:line="288" w:lineRule="auto"/>
              <w:ind w:left="0"/>
              <w:jc w:val="left"/>
            </w:pPr>
            <w:r>
              <w:rPr>
                <w:rFonts w:eastAsia="等线" w:ascii="Arial" w:cs="Arial" w:hAnsi="Arial"/>
                <w:sz w:val="22"/>
              </w:rPr>
              <w:t>明确关键区域秩序维护员的执勤岗位。</w:t>
            </w:r>
          </w:p>
          <w:p>
            <w:pPr>
              <w:numPr>
                <w:numId w:val="81"/>
              </w:numPr>
              <w:spacing w:before="120" w:after="120" w:line="288" w:lineRule="auto"/>
              <w:ind w:left="0"/>
              <w:jc w:val="left"/>
            </w:pPr>
            <w:r>
              <w:rPr>
                <w:rFonts w:eastAsia="等线" w:ascii="Arial" w:cs="Arial" w:hAnsi="Arial"/>
                <w:sz w:val="22"/>
              </w:rPr>
              <w:t>拟定二套以上的安防区域巡逻路线方案。</w:t>
            </w:r>
          </w:p>
          <w:p>
            <w:pPr>
              <w:numPr>
                <w:numId w:val="82"/>
              </w:numPr>
              <w:spacing w:before="120" w:after="120" w:line="288" w:lineRule="auto"/>
              <w:ind w:left="0"/>
              <w:jc w:val="left"/>
            </w:pPr>
            <w:r>
              <w:rPr>
                <w:rFonts w:eastAsia="等线" w:ascii="Arial" w:cs="Arial" w:hAnsi="Arial"/>
                <w:sz w:val="22"/>
              </w:rPr>
              <w:t>针对建设单位移交的实体、电子防护未能覆盖的盲区，合理安排人防措施。</w:t>
            </w:r>
          </w:p>
          <w:p>
            <w:pPr>
              <w:numPr>
                <w:numId w:val="83"/>
              </w:numPr>
              <w:spacing w:before="120" w:after="120" w:line="288" w:lineRule="auto"/>
              <w:ind w:left="0"/>
              <w:jc w:val="left"/>
            </w:pPr>
            <w:r>
              <w:rPr>
                <w:rFonts w:eastAsia="等线" w:ascii="Arial" w:cs="Arial" w:hAnsi="Arial"/>
                <w:sz w:val="22"/>
              </w:rPr>
              <w:t>根据布防手段结合物业项目实际情况应编制相关布防图（安防系统分布图、岗位设置图、巡逻路线图等；详见《安全布防方案》）。</w:t>
            </w:r>
          </w:p>
        </w:tc>
      </w:tr>
      <w:tr>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布防效果</w:t>
            </w:r>
          </w:p>
        </w:tc>
        <w:tc>
          <w:tcPr>
            <w:tcW w:w="6090" w:type="dxa"/>
            <w:tcMar>
              <w:top w:type="dxa" w:w="60"/>
              <w:left w:type="dxa" w:w="120"/>
              <w:bottom w:type="dxa" w:w="30"/>
              <w:right w:type="dxa" w:w="120"/>
            </w:tcMar>
          </w:tcPr>
          <w:p>
            <w:pPr>
              <w:numPr>
                <w:numId w:val="84"/>
              </w:numPr>
              <w:spacing w:before="120" w:after="120" w:line="288" w:lineRule="auto"/>
              <w:ind w:left="0"/>
              <w:jc w:val="left"/>
            </w:pPr>
            <w:r>
              <w:rPr>
                <w:rFonts w:eastAsia="等线" w:ascii="Arial" w:cs="Arial" w:hAnsi="Arial"/>
                <w:sz w:val="22"/>
              </w:rPr>
              <w:t>周界：周界设施、系统安全可靠、经济适用。</w:t>
            </w:r>
          </w:p>
          <w:p>
            <w:pPr>
              <w:numPr>
                <w:numId w:val="85"/>
              </w:numPr>
              <w:spacing w:before="120" w:after="120" w:line="288" w:lineRule="auto"/>
              <w:ind w:left="0"/>
              <w:jc w:val="left"/>
            </w:pPr>
            <w:r>
              <w:rPr>
                <w:rFonts w:eastAsia="等线" w:ascii="Arial" w:cs="Arial" w:hAnsi="Arial"/>
                <w:sz w:val="22"/>
              </w:rPr>
              <w:t>禁区：外来人员须经业主或物业使用人授权许可方可出入。</w:t>
            </w:r>
          </w:p>
          <w:p>
            <w:pPr>
              <w:numPr>
                <w:numId w:val="86"/>
              </w:numPr>
              <w:spacing w:before="120" w:after="120" w:line="288" w:lineRule="auto"/>
              <w:ind w:left="0"/>
              <w:jc w:val="left"/>
            </w:pPr>
            <w:r>
              <w:rPr>
                <w:rFonts w:eastAsia="等线" w:ascii="Arial" w:cs="Arial" w:hAnsi="Arial"/>
                <w:sz w:val="22"/>
              </w:rPr>
              <w:t>防护区：外来人员须经门岗查问并登记备案后方可出入。具有访客对讲系统的，还须业主或物业使用人许可后方可出入。</w:t>
            </w:r>
          </w:p>
          <w:p>
            <w:pPr>
              <w:numPr>
                <w:numId w:val="87"/>
              </w:numPr>
              <w:spacing w:before="120" w:after="120" w:line="288" w:lineRule="auto"/>
              <w:ind w:left="0"/>
              <w:jc w:val="left"/>
            </w:pPr>
            <w:r>
              <w:rPr>
                <w:rFonts w:eastAsia="等线" w:ascii="Arial" w:cs="Arial" w:hAnsi="Arial"/>
                <w:sz w:val="22"/>
              </w:rPr>
              <w:t>监视区：具有实物防护周界的，外来人员须经门岗查问后方可出入。</w:t>
            </w:r>
          </w:p>
          <w:p>
            <w:pPr>
              <w:numPr>
                <w:numId w:val="88"/>
              </w:numPr>
              <w:spacing w:before="120" w:after="120" w:line="288" w:lineRule="auto"/>
              <w:ind w:left="0"/>
              <w:jc w:val="left"/>
            </w:pPr>
            <w:r>
              <w:rPr>
                <w:rFonts w:eastAsia="等线" w:ascii="Arial" w:cs="Arial" w:hAnsi="Arial"/>
                <w:sz w:val="22"/>
              </w:rPr>
              <w:t>秩序巡逻岗或视频安防监控系统的视线应覆盖物业项目的重要公共区域（停车场、大堂、物业服务区主要道路等）。</w:t>
            </w:r>
          </w:p>
        </w:tc>
      </w:tr>
      <w:tr>
        <w:tc>
          <w:tcPr>
            <w:tcW w:w="21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常见布防措施</w:t>
            </w:r>
          </w:p>
        </w:tc>
        <w:tc>
          <w:tcPr>
            <w:tcW w:w="6090" w:type="dxa"/>
            <w:tcMar>
              <w:top w:type="dxa" w:w="60"/>
              <w:left w:type="dxa" w:w="120"/>
              <w:bottom w:type="dxa" w:w="30"/>
              <w:right w:type="dxa" w:w="120"/>
            </w:tcMar>
          </w:tcPr>
          <w:p>
            <w:pPr>
              <w:numPr>
                <w:numId w:val="89"/>
              </w:numPr>
              <w:spacing w:before="120" w:after="120" w:line="288" w:lineRule="auto"/>
              <w:ind w:left="0"/>
              <w:jc w:val="left"/>
            </w:pPr>
            <w:r>
              <w:rPr>
                <w:rFonts w:eastAsia="等线" w:ascii="Arial" w:cs="Arial" w:hAnsi="Arial"/>
                <w:sz w:val="22"/>
              </w:rPr>
              <w:t>周界防护系统：</w:t>
            </w:r>
          </w:p>
          <w:p>
            <w:pPr>
              <w:numPr>
                <w:numId w:val="90"/>
              </w:numPr>
              <w:spacing w:before="120" w:after="120" w:line="288" w:lineRule="auto"/>
              <w:ind w:left="453"/>
              <w:jc w:val="left"/>
            </w:pPr>
            <w:r>
              <w:rPr>
                <w:rFonts w:eastAsia="等线" w:ascii="Arial" w:cs="Arial" w:hAnsi="Arial"/>
                <w:sz w:val="22"/>
              </w:rPr>
              <w:t>实体周界防护系统：物业项目红线范围设置（外墙、外墙围栏及防爬刺等）。</w:t>
            </w:r>
          </w:p>
          <w:p>
            <w:pPr>
              <w:numPr>
                <w:numId w:val="91"/>
              </w:numPr>
              <w:spacing w:before="120" w:after="120" w:line="288" w:lineRule="auto"/>
              <w:ind w:left="453"/>
              <w:jc w:val="left"/>
            </w:pPr>
            <w:r>
              <w:rPr>
                <w:rFonts w:eastAsia="等线" w:ascii="Arial" w:cs="Arial" w:hAnsi="Arial"/>
                <w:sz w:val="22"/>
              </w:rPr>
              <w:t>电子周界防护系统：物业项目红线范围、重要部位设置（电子狗、电子围栏等）。</w:t>
            </w:r>
          </w:p>
          <w:p>
            <w:pPr>
              <w:numPr>
                <w:numId w:val="92"/>
              </w:numPr>
              <w:spacing w:before="120" w:after="120" w:line="288" w:lineRule="auto"/>
              <w:ind w:left="0"/>
              <w:jc w:val="left"/>
            </w:pPr>
            <w:r>
              <w:rPr>
                <w:rFonts w:eastAsia="等线" w:ascii="Arial" w:cs="Arial" w:hAnsi="Arial"/>
                <w:sz w:val="22"/>
              </w:rPr>
              <w:t>公共区域安全防护系统：</w:t>
            </w:r>
          </w:p>
          <w:p>
            <w:pPr>
              <w:numPr>
                <w:numId w:val="93"/>
              </w:numPr>
              <w:spacing w:before="120" w:after="120" w:line="288" w:lineRule="auto"/>
              <w:ind w:left="453"/>
              <w:jc w:val="left"/>
            </w:pPr>
            <w:r>
              <w:rPr>
                <w:rFonts w:eastAsia="等线" w:ascii="Arial" w:cs="Arial" w:hAnsi="Arial"/>
                <w:sz w:val="22"/>
              </w:rPr>
              <w:t>在线/离线式电子巡查系统：巡查点设置。</w:t>
            </w:r>
          </w:p>
          <w:p>
            <w:pPr>
              <w:numPr>
                <w:numId w:val="94"/>
              </w:numPr>
              <w:spacing w:before="120" w:after="120" w:line="288" w:lineRule="auto"/>
              <w:ind w:left="453"/>
              <w:jc w:val="left"/>
            </w:pPr>
            <w:r>
              <w:rPr>
                <w:rFonts w:eastAsia="等线" w:ascii="Arial" w:cs="Arial" w:hAnsi="Arial"/>
                <w:sz w:val="22"/>
              </w:rPr>
              <w:t>视频安防监控系统：出入口、重要部位/区域、通道、电梯轿厢等区域设置。</w:t>
            </w:r>
          </w:p>
          <w:p>
            <w:pPr>
              <w:numPr>
                <w:numId w:val="95"/>
              </w:numPr>
              <w:spacing w:before="120" w:after="120" w:line="288" w:lineRule="auto"/>
              <w:ind w:left="453"/>
              <w:jc w:val="left"/>
            </w:pPr>
            <w:r>
              <w:rPr>
                <w:rFonts w:eastAsia="等线" w:ascii="Arial" w:cs="Arial" w:hAnsi="Arial"/>
                <w:sz w:val="22"/>
              </w:rPr>
              <w:t>停车场管理系统：连同收费系统设置。</w:t>
            </w:r>
          </w:p>
          <w:p>
            <w:pPr>
              <w:numPr>
                <w:numId w:val="96"/>
              </w:numPr>
              <w:spacing w:before="120" w:after="120" w:line="288" w:lineRule="auto"/>
              <w:ind w:left="0"/>
              <w:jc w:val="left"/>
            </w:pPr>
            <w:r>
              <w:rPr>
                <w:rFonts w:eastAsia="等线" w:ascii="Arial" w:cs="Arial" w:hAnsi="Arial"/>
                <w:sz w:val="22"/>
              </w:rPr>
              <w:t>监控中心</w:t>
            </w:r>
          </w:p>
          <w:p>
            <w:pPr>
              <w:numPr>
                <w:numId w:val="97"/>
              </w:numPr>
              <w:spacing w:before="120" w:after="120" w:line="288" w:lineRule="auto"/>
              <w:ind w:left="453"/>
              <w:jc w:val="left"/>
            </w:pPr>
            <w:r>
              <w:rPr>
                <w:rFonts w:eastAsia="等线" w:ascii="Arial" w:cs="Arial" w:hAnsi="Arial"/>
                <w:sz w:val="22"/>
              </w:rPr>
              <w:t>安全管理系统：各子系统联动设置。</w:t>
            </w:r>
          </w:p>
          <w:p>
            <w:pPr>
              <w:numPr>
                <w:numId w:val="98"/>
              </w:numPr>
              <w:spacing w:before="120" w:after="120" w:line="288" w:lineRule="auto"/>
              <w:ind w:left="453"/>
              <w:jc w:val="left"/>
            </w:pPr>
            <w:r>
              <w:rPr>
                <w:rFonts w:eastAsia="等线" w:ascii="Arial" w:cs="Arial" w:hAnsi="Arial"/>
                <w:sz w:val="22"/>
              </w:rPr>
              <w:t>有线/无线通信工具：无线对讲机/手机、座机、五方通话。</w:t>
            </w:r>
          </w:p>
        </w:tc>
      </w:tr>
    </w:tbl>
    <w:p>
      <w:pPr>
        <w:pStyle w:val="2"/>
        <w:spacing w:before="320" w:after="120" w:line="288" w:lineRule="auto"/>
        <w:ind w:left="0"/>
        <w:jc w:val="left"/>
        <w:outlineLvl w:val="1"/>
      </w:pPr>
      <w:bookmarkStart w:name="heading_7" w:id="7"/>
      <w:r>
        <w:rPr>
          <w:rFonts w:eastAsia="等线" w:ascii="Arial" w:cs="Arial" w:hAnsi="Arial"/>
          <w:color w:val="3370ff"/>
          <w:sz w:val="32"/>
        </w:rPr>
        <w:t xml:space="preserve">4.4 </w:t>
      </w:r>
      <w:r>
        <w:rPr>
          <w:rFonts w:eastAsia="等线" w:ascii="Arial" w:cs="Arial" w:hAnsi="Arial"/>
          <w:b w:val="true"/>
          <w:sz w:val="32"/>
        </w:rPr>
        <w:t>消防安全管理要求</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215"/>
        <w:gridCol w:w="6030"/>
      </w:tblGrid>
      <w:tr>
        <w:tc>
          <w:tcPr>
            <w:tcW w:w="2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60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消防控制岗</w:t>
            </w: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6030" w:type="dxa"/>
            <w:tcMar>
              <w:top w:type="dxa" w:w="60"/>
              <w:left w:type="dxa" w:w="120"/>
              <w:bottom w:type="dxa" w:w="30"/>
              <w:right w:type="dxa" w:w="120"/>
            </w:tcMar>
          </w:tcPr>
          <w:p>
            <w:pPr>
              <w:numPr>
                <w:numId w:val="99"/>
              </w:numPr>
              <w:spacing w:before="120" w:after="120" w:line="288" w:lineRule="auto"/>
              <w:ind w:left="0"/>
              <w:jc w:val="left"/>
            </w:pPr>
            <w:r>
              <w:rPr>
                <w:rFonts w:eastAsia="等线" w:ascii="Arial" w:cs="Arial" w:hAnsi="Arial"/>
                <w:sz w:val="22"/>
              </w:rPr>
              <w:t>消防控制岗人员应严格遵守国家规定的消防控制岗岗位职责及消防控制室管理制度，及时填写《值班记录表》以及《消防控制室值班记录》（消防部门规定的火灾报警检查情况内容）。</w:t>
            </w:r>
          </w:p>
          <w:p>
            <w:pPr>
              <w:numPr>
                <w:numId w:val="100"/>
              </w:numPr>
              <w:spacing w:before="120" w:after="120" w:line="288" w:lineRule="auto"/>
              <w:ind w:left="0"/>
              <w:jc w:val="left"/>
            </w:pPr>
            <w:r>
              <w:rPr>
                <w:rFonts w:eastAsia="等线" w:ascii="Arial" w:cs="Arial" w:hAnsi="Arial"/>
                <w:sz w:val="22"/>
              </w:rPr>
              <w:t>消防控制室应进行相关制度的上墙措施。</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志愿消防组织</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消防组织</w:t>
            </w:r>
          </w:p>
        </w:tc>
        <w:tc>
          <w:tcPr>
            <w:tcW w:w="6030" w:type="dxa"/>
            <w:tcMar>
              <w:top w:type="dxa" w:w="60"/>
              <w:left w:type="dxa" w:w="120"/>
              <w:bottom w:type="dxa" w:w="30"/>
              <w:right w:type="dxa" w:w="120"/>
            </w:tcMar>
          </w:tcPr>
          <w:p>
            <w:pPr>
              <w:numPr>
                <w:numId w:val="101"/>
              </w:numPr>
              <w:spacing w:before="120" w:after="120" w:line="288" w:lineRule="auto"/>
              <w:ind w:left="0"/>
              <w:jc w:val="left"/>
            </w:pPr>
            <w:r>
              <w:rPr>
                <w:rFonts w:eastAsia="等线" w:ascii="Arial" w:cs="Arial" w:hAnsi="Arial"/>
                <w:sz w:val="22"/>
              </w:rPr>
              <w:t>物业项目应成立志愿消防队。</w:t>
            </w:r>
          </w:p>
          <w:p>
            <w:pPr>
              <w:numPr>
                <w:numId w:val="102"/>
              </w:numPr>
              <w:spacing w:before="120" w:after="120" w:line="288" w:lineRule="auto"/>
              <w:ind w:left="0"/>
              <w:jc w:val="left"/>
            </w:pPr>
            <w:r>
              <w:rPr>
                <w:rFonts w:eastAsia="等线" w:ascii="Arial" w:cs="Arial" w:hAnsi="Arial"/>
                <w:sz w:val="22"/>
              </w:rPr>
              <w:t>志愿消防队由物业项目全体人员组成，其中物业项目经理为消防队长。</w:t>
            </w:r>
          </w:p>
          <w:p>
            <w:pPr>
              <w:numPr>
                <w:numId w:val="103"/>
              </w:numPr>
              <w:spacing w:before="120" w:after="120" w:line="288" w:lineRule="auto"/>
              <w:ind w:left="0"/>
              <w:jc w:val="left"/>
            </w:pPr>
            <w:r>
              <w:rPr>
                <w:rFonts w:eastAsia="等线" w:ascii="Arial" w:cs="Arial" w:hAnsi="Arial"/>
                <w:sz w:val="22"/>
              </w:rPr>
              <w:t>志愿消防队分为指挥组、通信组、警戒组、设备组、灭火组、疏散组及救援组，明确各组职责。</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组织职责</w:t>
            </w:r>
          </w:p>
        </w:tc>
        <w:tc>
          <w:tcPr>
            <w:tcW w:w="6030" w:type="dxa"/>
            <w:tcMar>
              <w:top w:type="dxa" w:w="60"/>
              <w:left w:type="dxa" w:w="120"/>
              <w:bottom w:type="dxa" w:w="30"/>
              <w:right w:type="dxa" w:w="120"/>
            </w:tcMar>
          </w:tcPr>
          <w:p>
            <w:pPr>
              <w:numPr>
                <w:numId w:val="104"/>
              </w:numPr>
              <w:spacing w:before="120" w:after="120" w:line="288" w:lineRule="auto"/>
              <w:ind w:left="0"/>
              <w:jc w:val="left"/>
            </w:pPr>
            <w:r>
              <w:rPr>
                <w:rFonts w:eastAsia="等线" w:ascii="Arial" w:cs="Arial" w:hAnsi="Arial"/>
                <w:sz w:val="22"/>
              </w:rPr>
              <w:t>消防知识普及、宣传和教育（每年应不小于二次）。</w:t>
            </w:r>
          </w:p>
          <w:p>
            <w:pPr>
              <w:numPr>
                <w:numId w:val="105"/>
              </w:numPr>
              <w:spacing w:before="120" w:after="120" w:line="288" w:lineRule="auto"/>
              <w:ind w:left="0"/>
              <w:jc w:val="left"/>
            </w:pPr>
            <w:r>
              <w:rPr>
                <w:rFonts w:eastAsia="等线" w:ascii="Arial" w:cs="Arial" w:hAnsi="Arial"/>
                <w:sz w:val="22"/>
              </w:rPr>
              <w:t>消防设施设备及其它消防工作的检查。</w:t>
            </w:r>
          </w:p>
          <w:p>
            <w:pPr>
              <w:numPr>
                <w:numId w:val="106"/>
              </w:numPr>
              <w:spacing w:before="120" w:after="120" w:line="288" w:lineRule="auto"/>
              <w:ind w:left="0"/>
              <w:jc w:val="left"/>
            </w:pPr>
            <w:r>
              <w:rPr>
                <w:rFonts w:eastAsia="等线" w:ascii="Arial" w:cs="Arial" w:hAnsi="Arial"/>
                <w:sz w:val="22"/>
              </w:rPr>
              <w:t>消防部门未到场之前，实施消防应急预案。</w:t>
            </w:r>
          </w:p>
          <w:p>
            <w:pPr>
              <w:numPr>
                <w:numId w:val="107"/>
              </w:numPr>
              <w:spacing w:before="120" w:after="120" w:line="288" w:lineRule="auto"/>
              <w:ind w:left="0"/>
              <w:jc w:val="left"/>
            </w:pPr>
            <w:r>
              <w:rPr>
                <w:rFonts w:eastAsia="等线" w:ascii="Arial" w:cs="Arial" w:hAnsi="Arial"/>
                <w:sz w:val="22"/>
              </w:rPr>
              <w:t>火灾时，配合消防部门实施灭火扑救。</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消防定期巡查</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消防巡查内容</w:t>
            </w:r>
          </w:p>
        </w:tc>
        <w:tc>
          <w:tcPr>
            <w:tcW w:w="6030" w:type="dxa"/>
            <w:tcMar>
              <w:top w:type="dxa" w:w="60"/>
              <w:left w:type="dxa" w:w="120"/>
              <w:bottom w:type="dxa" w:w="30"/>
              <w:right w:type="dxa" w:w="120"/>
            </w:tcMar>
          </w:tcPr>
          <w:p>
            <w:pPr>
              <w:numPr>
                <w:numId w:val="108"/>
              </w:numPr>
              <w:spacing w:before="120" w:after="120" w:line="288" w:lineRule="auto"/>
              <w:ind w:left="0"/>
              <w:jc w:val="left"/>
            </w:pPr>
            <w:r>
              <w:rPr>
                <w:rFonts w:eastAsia="等线" w:ascii="Arial" w:cs="Arial" w:hAnsi="Arial"/>
                <w:sz w:val="22"/>
              </w:rPr>
              <w:t>消防控制室运行及值班情况，自动报警、灭火系统功能状态。</w:t>
            </w:r>
          </w:p>
          <w:p>
            <w:pPr>
              <w:numPr>
                <w:numId w:val="109"/>
              </w:numPr>
              <w:spacing w:before="120" w:after="120" w:line="288" w:lineRule="auto"/>
              <w:ind w:left="0"/>
              <w:jc w:val="left"/>
            </w:pPr>
            <w:r>
              <w:rPr>
                <w:rFonts w:eastAsia="等线" w:ascii="Arial" w:cs="Arial" w:hAnsi="Arial"/>
                <w:sz w:val="22"/>
              </w:rPr>
              <w:t>疏散通道、安全出口、消防通道畅通情况，应急照明及疏散标识完好情况。</w:t>
            </w:r>
          </w:p>
          <w:p>
            <w:pPr>
              <w:numPr>
                <w:numId w:val="110"/>
              </w:numPr>
              <w:spacing w:before="120" w:after="120" w:line="288" w:lineRule="auto"/>
              <w:ind w:left="0"/>
              <w:jc w:val="left"/>
            </w:pPr>
            <w:r>
              <w:rPr>
                <w:rFonts w:eastAsia="等线" w:ascii="Arial" w:cs="Arial" w:hAnsi="Arial"/>
                <w:sz w:val="22"/>
              </w:rPr>
              <w:t>防排烟系统、电气线路、室内消火栓、灭火器等设施设备完好情况。</w:t>
            </w:r>
          </w:p>
          <w:p>
            <w:pPr>
              <w:numPr>
                <w:numId w:val="111"/>
              </w:numPr>
              <w:spacing w:before="120" w:after="120" w:line="288" w:lineRule="auto"/>
              <w:ind w:left="0"/>
              <w:jc w:val="left"/>
            </w:pPr>
            <w:r>
              <w:rPr>
                <w:rFonts w:eastAsia="等线" w:ascii="Arial" w:cs="Arial" w:hAnsi="Arial"/>
                <w:sz w:val="22"/>
              </w:rPr>
              <w:t>重点部位（机房、厨房、危险品仓库等）消防安全措施落实情况。</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消防巡查形式及频次</w:t>
            </w:r>
          </w:p>
        </w:tc>
        <w:tc>
          <w:tcPr>
            <w:tcW w:w="6030" w:type="dxa"/>
            <w:tcMar>
              <w:top w:type="dxa" w:w="60"/>
              <w:left w:type="dxa" w:w="120"/>
              <w:bottom w:type="dxa" w:w="30"/>
              <w:right w:type="dxa" w:w="120"/>
            </w:tcMar>
          </w:tcPr>
          <w:p>
            <w:pPr>
              <w:numPr>
                <w:numId w:val="112"/>
              </w:numPr>
              <w:spacing w:before="120" w:after="120" w:line="288" w:lineRule="auto"/>
              <w:ind w:left="0"/>
              <w:jc w:val="left"/>
            </w:pPr>
            <w:r>
              <w:rPr>
                <w:rFonts w:eastAsia="等线" w:ascii="Arial" w:cs="Arial" w:hAnsi="Arial"/>
                <w:sz w:val="22"/>
              </w:rPr>
              <w:t>消防巡查应落实督查、例行巡查、重大节日/活动巡查制度。</w:t>
            </w:r>
          </w:p>
          <w:p>
            <w:pPr>
              <w:numPr>
                <w:numId w:val="113"/>
              </w:numPr>
              <w:spacing w:before="120" w:after="120" w:line="288" w:lineRule="auto"/>
              <w:ind w:left="453"/>
              <w:jc w:val="left"/>
            </w:pPr>
            <w:r>
              <w:rPr>
                <w:rFonts w:eastAsia="等线" w:ascii="Arial" w:cs="Arial" w:hAnsi="Arial"/>
                <w:sz w:val="22"/>
              </w:rPr>
              <w:t>督查：秩序专业负责人跟踪落实重点单位的消防管理工作及秩序消防巡查人员的消防检查情况。</w:t>
            </w:r>
          </w:p>
          <w:p>
            <w:pPr>
              <w:numPr>
                <w:numId w:val="114"/>
              </w:numPr>
              <w:spacing w:before="120" w:after="120" w:line="288" w:lineRule="auto"/>
              <w:ind w:left="453"/>
              <w:jc w:val="left"/>
            </w:pPr>
            <w:r>
              <w:rPr>
                <w:rFonts w:eastAsia="等线" w:ascii="Arial" w:cs="Arial" w:hAnsi="Arial"/>
                <w:sz w:val="22"/>
              </w:rPr>
              <w:t>例行巡查：秩序巡逻人员对消防巡查。</w:t>
            </w:r>
          </w:p>
          <w:p>
            <w:pPr>
              <w:numPr>
                <w:numId w:val="115"/>
              </w:numPr>
              <w:spacing w:before="120" w:after="120" w:line="288" w:lineRule="auto"/>
              <w:ind w:left="907"/>
              <w:jc w:val="left"/>
            </w:pPr>
            <w:r>
              <w:rPr>
                <w:rFonts w:eastAsia="等线" w:ascii="Arial" w:cs="Arial" w:hAnsi="Arial"/>
                <w:sz w:val="22"/>
              </w:rPr>
              <w:t>消防设施巡查：每月1次月度巡查（周、季度巡查根据物业项目实际需求增加）。</w:t>
            </w:r>
          </w:p>
          <w:p>
            <w:pPr>
              <w:numPr>
                <w:numId w:val="116"/>
              </w:numPr>
              <w:spacing w:before="120" w:after="120" w:line="288" w:lineRule="auto"/>
              <w:ind w:left="907"/>
              <w:jc w:val="left"/>
            </w:pPr>
            <w:r>
              <w:rPr>
                <w:rFonts w:eastAsia="等线" w:ascii="Arial" w:cs="Arial" w:hAnsi="Arial"/>
                <w:sz w:val="22"/>
              </w:rPr>
              <w:t>消防防火巡查：每日 1 次日巡查；每月1次月度巡查。</w:t>
            </w:r>
          </w:p>
          <w:p>
            <w:pPr>
              <w:numPr>
                <w:numId w:val="117"/>
              </w:numPr>
              <w:spacing w:before="120" w:after="120" w:line="288" w:lineRule="auto"/>
              <w:ind w:left="453"/>
              <w:jc w:val="left"/>
            </w:pPr>
            <w:r>
              <w:rPr>
                <w:rFonts w:eastAsia="等线" w:ascii="Arial" w:cs="Arial" w:hAnsi="Arial"/>
                <w:sz w:val="22"/>
              </w:rPr>
              <w:t>重大节日巡查：在天气干燥季节、法定节假日如春节前应对消防防火工作全面检查。</w:t>
            </w:r>
          </w:p>
          <w:p>
            <w:pPr>
              <w:numPr>
                <w:numId w:val="118"/>
              </w:numPr>
              <w:spacing w:before="120" w:after="120" w:line="288" w:lineRule="auto"/>
              <w:ind w:left="453"/>
              <w:jc w:val="left"/>
            </w:pPr>
            <w:r>
              <w:rPr>
                <w:rFonts w:eastAsia="等线" w:ascii="Arial" w:cs="Arial" w:hAnsi="Arial"/>
                <w:sz w:val="22"/>
              </w:rPr>
              <w:t>重大活动巡查：在活动前应对活动场所进行消防防火全面检查，活动过程应关注消防安全。</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消防巡查记录填写</w:t>
            </w:r>
          </w:p>
        </w:tc>
        <w:tc>
          <w:tcPr>
            <w:tcW w:w="6030" w:type="dxa"/>
            <w:tcMar>
              <w:top w:type="dxa" w:w="60"/>
              <w:left w:type="dxa" w:w="120"/>
              <w:bottom w:type="dxa" w:w="30"/>
              <w:right w:type="dxa" w:w="120"/>
            </w:tcMar>
          </w:tcPr>
          <w:p>
            <w:pPr>
              <w:numPr>
                <w:numId w:val="119"/>
              </w:numPr>
              <w:spacing w:before="120" w:after="120" w:line="288" w:lineRule="auto"/>
              <w:ind w:left="0"/>
              <w:jc w:val="left"/>
            </w:pPr>
            <w:r>
              <w:rPr>
                <w:rFonts w:eastAsia="等线" w:ascii="Arial" w:cs="Arial" w:hAnsi="Arial"/>
                <w:sz w:val="22"/>
              </w:rPr>
              <w:t>消防巡查记录应在对应资料中填写。</w:t>
            </w:r>
          </w:p>
          <w:p>
            <w:pPr>
              <w:numPr>
                <w:numId w:val="120"/>
              </w:numPr>
              <w:spacing w:before="120" w:after="120" w:line="288" w:lineRule="auto"/>
              <w:ind w:left="453"/>
              <w:jc w:val="left"/>
            </w:pPr>
            <w:r>
              <w:rPr>
                <w:rFonts w:eastAsia="等线" w:ascii="Arial" w:cs="Arial" w:hAnsi="Arial"/>
                <w:sz w:val="22"/>
              </w:rPr>
              <w:t>灭火器及消火栓的巡检记录：巡逻人员检查完毕后在《消火栓检查表》和《灭火器检查表》上填写相关内容，并签名。</w:t>
            </w:r>
          </w:p>
          <w:p>
            <w:pPr>
              <w:numPr>
                <w:numId w:val="121"/>
              </w:numPr>
              <w:spacing w:before="120" w:after="120" w:line="288" w:lineRule="auto"/>
              <w:ind w:left="453"/>
              <w:jc w:val="left"/>
            </w:pPr>
            <w:r>
              <w:rPr>
                <w:rFonts w:eastAsia="等线" w:ascii="Arial" w:cs="Arial" w:hAnsi="Arial"/>
                <w:sz w:val="22"/>
              </w:rPr>
              <w:t>消防设施巡查记录：在巡查后及时填写在《建筑消防设施巡查记录表》上，并签名；如发现消防设施故障情况，及时将有关事项填写在《建筑消防设施故障处理记录表》上，将情况上报上级和客户服务中心及相关维修部门进行处理。</w:t>
            </w:r>
          </w:p>
          <w:p>
            <w:pPr>
              <w:numPr>
                <w:numId w:val="122"/>
              </w:numPr>
              <w:spacing w:before="120" w:after="120" w:line="288" w:lineRule="auto"/>
              <w:ind w:left="453"/>
              <w:jc w:val="left"/>
            </w:pPr>
            <w:r>
              <w:rPr>
                <w:rFonts w:eastAsia="等线" w:ascii="Arial" w:cs="Arial" w:hAnsi="Arial"/>
                <w:sz w:val="22"/>
              </w:rPr>
              <w:t>消防防火巡查记录：每日的消防防火巡查应当在《消防安全社会（重点）单位每日防火巡查记录表》上填写巡查记录；巡逻人员及秩序专业负责人应当在巡查记录上签名；月度消防防火巡查应在《消防安全社会（重点）单位每月防火巡查记录表》上填写巡查记录；秩序专业负责人或物业项目经理应在巡查记录上签名，并做好归档。</w:t>
            </w:r>
          </w:p>
          <w:p>
            <w:pPr>
              <w:numPr>
                <w:numId w:val="123"/>
              </w:numPr>
              <w:spacing w:before="120" w:after="120" w:line="288" w:lineRule="auto"/>
              <w:ind w:left="453"/>
              <w:jc w:val="left"/>
            </w:pPr>
            <w:r>
              <w:rPr>
                <w:rFonts w:eastAsia="等线" w:ascii="Arial" w:cs="Arial" w:hAnsi="Arial"/>
                <w:sz w:val="22"/>
              </w:rPr>
              <w:t>年度消防设施设备及防火巡查记录可参考《建筑消防设施巡查记录表》、《消防安全社会（重点）单位每月防火巡查记录表》填写。</w:t>
            </w:r>
          </w:p>
          <w:p>
            <w:pPr>
              <w:numPr>
                <w:numId w:val="124"/>
              </w:numPr>
              <w:spacing w:before="120" w:after="120" w:line="288" w:lineRule="auto"/>
              <w:ind w:left="453"/>
              <w:jc w:val="left"/>
            </w:pPr>
            <w:r>
              <w:rPr>
                <w:rFonts w:eastAsia="等线" w:ascii="Arial" w:cs="Arial" w:hAnsi="Arial"/>
                <w:sz w:val="22"/>
              </w:rPr>
              <w:t>重大节日巡查及重大活动巡查可参考《消防安全社会（重点）单位每月防火巡查记录表》填写。</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 </w:t>
            </w:r>
            <w:r>
              <w:rPr>
                <w:rFonts w:eastAsia="等线" w:ascii="Arial" w:cs="Arial" w:hAnsi="Arial"/>
                <w:sz w:val="22"/>
              </w:rPr>
              <w:t>消防隐患整改</w:t>
            </w:r>
          </w:p>
        </w:tc>
        <w:tc>
          <w:tcPr>
            <w:tcW w:w="6030" w:type="dxa"/>
            <w:tcMar>
              <w:top w:type="dxa" w:w="60"/>
              <w:left w:type="dxa" w:w="120"/>
              <w:bottom w:type="dxa" w:w="30"/>
              <w:right w:type="dxa" w:w="120"/>
            </w:tcMar>
          </w:tcPr>
          <w:p>
            <w:pPr>
              <w:numPr>
                <w:numId w:val="125"/>
              </w:numPr>
              <w:spacing w:before="120" w:after="120" w:line="288" w:lineRule="auto"/>
              <w:ind w:left="0"/>
              <w:jc w:val="left"/>
            </w:pPr>
            <w:r>
              <w:rPr>
                <w:rFonts w:eastAsia="等线" w:ascii="Arial" w:cs="Arial" w:hAnsi="Arial"/>
                <w:sz w:val="22"/>
              </w:rPr>
              <w:t>检查发现的火灾隐患应建立台账，明确整改责任人、整改措施和整改时限。</w:t>
            </w:r>
          </w:p>
          <w:p>
            <w:pPr>
              <w:numPr>
                <w:numId w:val="126"/>
              </w:numPr>
              <w:spacing w:before="120" w:after="120" w:line="288" w:lineRule="auto"/>
              <w:ind w:left="0"/>
              <w:jc w:val="left"/>
            </w:pPr>
            <w:r>
              <w:rPr>
                <w:rFonts w:eastAsia="等线" w:ascii="Arial" w:cs="Arial" w:hAnsi="Arial"/>
                <w:sz w:val="22"/>
              </w:rPr>
              <w:t>一般隐患应立即整改，重大隐患应及时上报，并采取临时防范措施。</w:t>
            </w:r>
          </w:p>
          <w:p>
            <w:pPr>
              <w:numPr>
                <w:numId w:val="127"/>
              </w:numPr>
              <w:spacing w:before="120" w:after="120" w:line="288" w:lineRule="auto"/>
              <w:ind w:left="0"/>
              <w:jc w:val="left"/>
            </w:pPr>
            <w:r>
              <w:rPr>
                <w:rFonts w:eastAsia="等线" w:ascii="Arial" w:cs="Arial" w:hAnsi="Arial"/>
                <w:sz w:val="22"/>
              </w:rPr>
              <w:t>隐患整改完成后应组织复查，确保整改到位，相关记录存档备查。</w:t>
            </w: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消防器材</w:t>
            </w:r>
          </w:p>
        </w:tc>
        <w:tc>
          <w:tcPr>
            <w:tcW w:w="1215" w:type="dxa"/>
            <w:vMerge w:val="restart"/>
            <w:tcMar>
              <w:top w:type="dxa" w:w="60"/>
              <w:left w:type="dxa" w:w="120"/>
              <w:bottom w:type="dxa" w:w="30"/>
              <w:right w:type="dxa" w:w="120"/>
            </w:tcMar>
          </w:tcPr>
          <w:p>
            <w:pPr>
              <w:spacing w:before="120" w:after="120" w:line="288" w:lineRule="auto"/>
              <w:ind w:left="0"/>
              <w:jc w:val="center"/>
            </w:pPr>
          </w:p>
          <w:p>
            <w:pPr>
              <w:spacing w:before="120" w:after="120" w:line="288" w:lineRule="auto"/>
              <w:ind w:left="0"/>
              <w:jc w:val="center"/>
            </w:pPr>
            <w:r>
              <w:rPr>
                <w:rFonts w:eastAsia="等线" w:ascii="Arial" w:cs="Arial" w:hAnsi="Arial"/>
                <w:sz w:val="22"/>
              </w:rPr>
              <w:t>消防器材配置</w:t>
            </w:r>
          </w:p>
        </w:tc>
        <w:tc>
          <w:tcPr>
            <w:tcW w:w="6030" w:type="dxa"/>
            <w:vMerge w:val="restart"/>
            <w:tcMar>
              <w:top w:type="dxa" w:w="60"/>
              <w:left w:type="dxa" w:w="120"/>
              <w:bottom w:type="dxa" w:w="30"/>
              <w:right w:type="dxa" w:w="120"/>
            </w:tcMar>
          </w:tcPr>
          <w:p>
            <w:pPr>
              <w:numPr>
                <w:numId w:val="128"/>
              </w:numPr>
              <w:spacing w:before="120" w:after="120" w:line="288" w:lineRule="auto"/>
              <w:ind w:left="0"/>
              <w:jc w:val="left"/>
            </w:pPr>
            <w:r>
              <w:rPr>
                <w:rFonts w:eastAsia="等线" w:ascii="Arial" w:cs="Arial" w:hAnsi="Arial"/>
                <w:sz w:val="22"/>
              </w:rPr>
              <w:t>公共区域配置：物业服务区内，楼层配置按原来配置（建筑原建）要求规范。</w:t>
            </w:r>
          </w:p>
          <w:p>
            <w:pPr>
              <w:numPr>
                <w:numId w:val="129"/>
              </w:numPr>
              <w:spacing w:before="120" w:after="120" w:line="288" w:lineRule="auto"/>
              <w:ind w:left="0"/>
              <w:jc w:val="left"/>
            </w:pPr>
            <w:r>
              <w:rPr>
                <w:rFonts w:eastAsia="等线" w:ascii="Arial" w:cs="Arial" w:hAnsi="Arial"/>
                <w:sz w:val="22"/>
              </w:rPr>
              <w:t>岗亭配置：物业项目的每个岗亭均应配备灭火器。在发生火警时，岗亭秩序维护员应先就近使用灭火器补救本责任区的初起火灾。</w:t>
            </w:r>
          </w:p>
          <w:p>
            <w:pPr>
              <w:numPr>
                <w:numId w:val="130"/>
              </w:numPr>
              <w:spacing w:before="120" w:after="120" w:line="288" w:lineRule="auto"/>
              <w:ind w:left="0"/>
              <w:jc w:val="left"/>
            </w:pPr>
            <w:r>
              <w:rPr>
                <w:rFonts w:eastAsia="等线" w:ascii="Arial" w:cs="Arial" w:hAnsi="Arial"/>
                <w:sz w:val="22"/>
              </w:rPr>
              <w:t>机房配置：各类机房均应配备足够数量的灭火器材，以保证机房火灾的处置，机房内主要配备有固定灭火器材和推车式灭火器。</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6030" w:type="dxa"/>
            <w:vMerge w:val="continue"/>
            <w:tcMar>
              <w:top w:type="dxa" w:w="60"/>
              <w:left w:type="dxa" w:w="120"/>
              <w:bottom w:type="dxa" w:w="30"/>
              <w:right w:type="dxa" w:w="120"/>
            </w:tcMar>
          </w:tcPr>
          <w:p>
            <w:pPr>
              <w:spacing w:before="120" w:after="120" w:line="288" w:lineRule="auto"/>
              <w:ind w:left="0"/>
              <w:jc w:val="left"/>
            </w:pP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6030" w:type="dxa"/>
            <w:vMerge w:val="continue"/>
            <w:tcMar>
              <w:top w:type="dxa" w:w="60"/>
              <w:left w:type="dxa" w:w="120"/>
              <w:bottom w:type="dxa" w:w="30"/>
              <w:right w:type="dxa" w:w="120"/>
            </w:tcMar>
          </w:tcPr>
          <w:p>
            <w:pPr>
              <w:spacing w:before="120" w:after="120" w:line="288" w:lineRule="auto"/>
              <w:ind w:left="0"/>
              <w:jc w:val="left"/>
            </w:pP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消防器材定期盘点维护</w:t>
            </w:r>
          </w:p>
        </w:tc>
        <w:tc>
          <w:tcPr>
            <w:tcW w:w="6030" w:type="dxa"/>
            <w:vMerge w:val="restart"/>
            <w:tcMar>
              <w:top w:type="dxa" w:w="60"/>
              <w:left w:type="dxa" w:w="120"/>
              <w:bottom w:type="dxa" w:w="30"/>
              <w:right w:type="dxa" w:w="120"/>
            </w:tcMar>
          </w:tcPr>
          <w:p>
            <w:pPr>
              <w:numPr>
                <w:numId w:val="131"/>
              </w:numPr>
              <w:spacing w:before="120" w:after="120" w:line="288" w:lineRule="auto"/>
              <w:ind w:left="0"/>
              <w:jc w:val="left"/>
            </w:pPr>
            <w:r>
              <w:rPr>
                <w:rFonts w:eastAsia="等线" w:ascii="Arial" w:cs="Arial" w:hAnsi="Arial"/>
                <w:sz w:val="22"/>
              </w:rPr>
              <w:t>配置在物业项目的消防器材，每月均应做一次全面核查工作，以保证物业项目配备的消防器材完整、齐全。</w:t>
            </w:r>
          </w:p>
          <w:p>
            <w:pPr>
              <w:numPr>
                <w:numId w:val="132"/>
              </w:numPr>
              <w:spacing w:before="120" w:after="120" w:line="288" w:lineRule="auto"/>
              <w:ind w:left="0"/>
              <w:jc w:val="left"/>
            </w:pPr>
            <w:r>
              <w:rPr>
                <w:rFonts w:eastAsia="等线" w:ascii="Arial" w:cs="Arial" w:hAnsi="Arial"/>
                <w:sz w:val="22"/>
              </w:rPr>
              <w:t>对已失效、损坏的器材应进行重新配置，对失效的灭火器应定期进行充装。</w:t>
            </w:r>
          </w:p>
          <w:p>
            <w:pPr>
              <w:numPr>
                <w:numId w:val="133"/>
              </w:numPr>
              <w:spacing w:before="120" w:after="120" w:line="288" w:lineRule="auto"/>
              <w:ind w:left="0"/>
              <w:jc w:val="left"/>
            </w:pPr>
            <w:r>
              <w:rPr>
                <w:rFonts w:eastAsia="等线" w:ascii="Arial" w:cs="Arial" w:hAnsi="Arial"/>
                <w:sz w:val="22"/>
              </w:rPr>
              <w:t>配置在物业项目及各个场所的消防器材，应由巡逻岗巡查签字确认。</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6030" w:type="dxa"/>
            <w:vMerge w:val="continue"/>
            <w:tcMar>
              <w:top w:type="dxa" w:w="60"/>
              <w:left w:type="dxa" w:w="120"/>
              <w:bottom w:type="dxa" w:w="30"/>
              <w:right w:type="dxa" w:w="120"/>
            </w:tcMar>
          </w:tcPr>
          <w:p>
            <w:pPr>
              <w:spacing w:before="120" w:after="120" w:line="288" w:lineRule="auto"/>
              <w:ind w:left="0"/>
              <w:jc w:val="left"/>
            </w:pP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vMerge w:val="continue"/>
            <w:tcMar>
              <w:top w:type="dxa" w:w="60"/>
              <w:left w:type="dxa" w:w="120"/>
              <w:bottom w:type="dxa" w:w="30"/>
              <w:right w:type="dxa" w:w="120"/>
            </w:tcMar>
          </w:tcPr>
          <w:p>
            <w:pPr>
              <w:spacing w:before="120" w:after="120" w:line="288" w:lineRule="auto"/>
              <w:ind w:left="0"/>
              <w:jc w:val="left"/>
            </w:pPr>
          </w:p>
        </w:tc>
        <w:tc>
          <w:tcPr>
            <w:tcW w:w="6030" w:type="dxa"/>
            <w:vMerge w:val="continue"/>
            <w:tcMar>
              <w:top w:type="dxa" w:w="60"/>
              <w:left w:type="dxa" w:w="120"/>
              <w:bottom w:type="dxa" w:w="30"/>
              <w:right w:type="dxa" w:w="120"/>
            </w:tcMar>
          </w:tcPr>
          <w:p>
            <w:pPr>
              <w:spacing w:before="120" w:after="120" w:line="288" w:lineRule="auto"/>
              <w:ind w:left="0"/>
              <w:jc w:val="left"/>
            </w:pPr>
          </w:p>
        </w:tc>
      </w:tr>
      <w:tr>
        <w:tc>
          <w:tcPr>
            <w:tcW w:w="103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动火作业</w:t>
            </w: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动火前</w:t>
            </w:r>
          </w:p>
          <w:p>
            <w:pPr>
              <w:spacing w:before="120" w:after="120" w:line="288" w:lineRule="auto"/>
              <w:ind w:left="0"/>
              <w:jc w:val="center"/>
            </w:pPr>
          </w:p>
        </w:tc>
        <w:tc>
          <w:tcPr>
            <w:tcW w:w="6030" w:type="dxa"/>
            <w:tcMar>
              <w:top w:type="dxa" w:w="60"/>
              <w:left w:type="dxa" w:w="120"/>
              <w:bottom w:type="dxa" w:w="30"/>
              <w:right w:type="dxa" w:w="120"/>
            </w:tcMar>
          </w:tcPr>
          <w:p>
            <w:pPr>
              <w:numPr>
                <w:numId w:val="134"/>
              </w:numPr>
              <w:spacing w:before="120" w:after="120" w:line="288" w:lineRule="auto"/>
              <w:ind w:left="0"/>
              <w:jc w:val="left"/>
            </w:pPr>
            <w:r>
              <w:rPr>
                <w:rFonts w:eastAsia="等线" w:ascii="Arial" w:cs="Arial" w:hAnsi="Arial"/>
                <w:sz w:val="22"/>
              </w:rPr>
              <w:t>应提前向物业服务中心办理相关手续，重点部位动火还应由管理处物业项目经理申请。</w:t>
            </w:r>
          </w:p>
          <w:p>
            <w:pPr>
              <w:numPr>
                <w:numId w:val="135"/>
              </w:numPr>
              <w:spacing w:before="120" w:after="120" w:line="288" w:lineRule="auto"/>
              <w:ind w:left="0"/>
              <w:jc w:val="left"/>
            </w:pPr>
            <w:r>
              <w:rPr>
                <w:rFonts w:eastAsia="等线" w:ascii="Arial" w:cs="Arial" w:hAnsi="Arial"/>
                <w:sz w:val="22"/>
              </w:rPr>
              <w:t>防火、灭火设施应落实，周围易燃物品应清除，对难以移动的易燃结构应采取安全防范措施（围挡难燃材料隔离处理、张贴安全标示提醒）。</w:t>
            </w:r>
          </w:p>
          <w:p>
            <w:pPr>
              <w:numPr>
                <w:numId w:val="136"/>
              </w:numPr>
              <w:spacing w:before="120" w:after="120" w:line="288" w:lineRule="auto"/>
              <w:ind w:left="0"/>
              <w:jc w:val="left"/>
            </w:pPr>
            <w:r>
              <w:rPr>
                <w:rFonts w:eastAsia="等线" w:ascii="Arial" w:cs="Arial" w:hAnsi="Arial"/>
                <w:sz w:val="22"/>
              </w:rPr>
              <w:t>盛装过油类行等易燃液体的容器、管道应进行洗刷干净。</w:t>
            </w:r>
          </w:p>
          <w:p>
            <w:pPr>
              <w:numPr>
                <w:numId w:val="137"/>
              </w:numPr>
              <w:spacing w:before="120" w:after="120" w:line="288" w:lineRule="auto"/>
              <w:ind w:left="0"/>
              <w:jc w:val="left"/>
            </w:pPr>
            <w:r>
              <w:rPr>
                <w:rFonts w:eastAsia="等线" w:ascii="Arial" w:cs="Arial" w:hAnsi="Arial"/>
                <w:sz w:val="22"/>
              </w:rPr>
              <w:t>受热膨胀的容器、管道应排除爆炸危险可能。</w:t>
            </w:r>
          </w:p>
          <w:p>
            <w:pPr>
              <w:numPr>
                <w:numId w:val="138"/>
              </w:numPr>
              <w:spacing w:before="120" w:after="120" w:line="288" w:lineRule="auto"/>
              <w:ind w:left="0"/>
              <w:jc w:val="left"/>
            </w:pPr>
            <w:r>
              <w:rPr>
                <w:rFonts w:eastAsia="等线" w:ascii="Arial" w:cs="Arial" w:hAnsi="Arial"/>
                <w:sz w:val="22"/>
              </w:rPr>
              <w:t>凡储有易燃易爆物品的场所、物件应排除易燃易爆物品。</w:t>
            </w:r>
          </w:p>
          <w:p>
            <w:pPr>
              <w:numPr>
                <w:numId w:val="139"/>
              </w:numPr>
              <w:spacing w:before="120" w:after="120" w:line="288" w:lineRule="auto"/>
              <w:ind w:left="0"/>
              <w:jc w:val="left"/>
            </w:pPr>
            <w:r>
              <w:rPr>
                <w:rFonts w:eastAsia="等线" w:ascii="Arial" w:cs="Arial" w:hAnsi="Arial"/>
                <w:sz w:val="22"/>
              </w:rPr>
              <w:t>高空焊接或切割时，下面的易燃易爆物品应进行清理干清或采取安全防护措施。</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动火时</w:t>
            </w:r>
          </w:p>
        </w:tc>
        <w:tc>
          <w:tcPr>
            <w:tcW w:w="6030" w:type="dxa"/>
            <w:tcMar>
              <w:top w:type="dxa" w:w="60"/>
              <w:left w:type="dxa" w:w="120"/>
              <w:bottom w:type="dxa" w:w="30"/>
              <w:right w:type="dxa" w:w="120"/>
            </w:tcMar>
          </w:tcPr>
          <w:p>
            <w:pPr>
              <w:numPr>
                <w:numId w:val="140"/>
              </w:numPr>
              <w:spacing w:before="120" w:after="120" w:line="288" w:lineRule="auto"/>
              <w:ind w:left="0"/>
              <w:jc w:val="left"/>
            </w:pPr>
            <w:r>
              <w:rPr>
                <w:rFonts w:eastAsia="等线" w:ascii="Arial" w:cs="Arial" w:hAnsi="Arial"/>
                <w:sz w:val="22"/>
              </w:rPr>
              <w:t>动火现场作业方应落实专人监护。</w:t>
            </w:r>
          </w:p>
          <w:p>
            <w:pPr>
              <w:numPr>
                <w:numId w:val="141"/>
              </w:numPr>
              <w:spacing w:before="120" w:after="120" w:line="288" w:lineRule="auto"/>
              <w:ind w:left="0"/>
              <w:jc w:val="left"/>
            </w:pPr>
            <w:r>
              <w:rPr>
                <w:rFonts w:eastAsia="等线" w:ascii="Arial" w:cs="Arial" w:hAnsi="Arial"/>
                <w:sz w:val="22"/>
              </w:rPr>
              <w:t>动火人员要严格遵守安全操作要求。</w:t>
            </w:r>
          </w:p>
          <w:p>
            <w:pPr>
              <w:numPr>
                <w:numId w:val="142"/>
              </w:numPr>
              <w:spacing w:before="120" w:after="120" w:line="288" w:lineRule="auto"/>
              <w:ind w:left="0"/>
              <w:jc w:val="left"/>
            </w:pPr>
            <w:r>
              <w:rPr>
                <w:rFonts w:eastAsia="等线" w:ascii="Arial" w:cs="Arial" w:hAnsi="Arial"/>
                <w:sz w:val="22"/>
              </w:rPr>
              <w:t>发现不安全苗头要立即停止动火作业。</w:t>
            </w:r>
          </w:p>
          <w:p>
            <w:pPr>
              <w:numPr>
                <w:numId w:val="143"/>
              </w:numPr>
              <w:spacing w:before="120" w:after="120" w:line="288" w:lineRule="auto"/>
              <w:ind w:left="0"/>
              <w:jc w:val="left"/>
            </w:pPr>
            <w:r>
              <w:rPr>
                <w:rFonts w:eastAsia="等线" w:ascii="Arial" w:cs="Arial" w:hAnsi="Arial"/>
                <w:sz w:val="22"/>
              </w:rPr>
              <w:t>发生火灾、燃炸事故时，要及时扑救。</w:t>
            </w:r>
          </w:p>
        </w:tc>
      </w:tr>
      <w:tr>
        <w:tc>
          <w:tcPr>
            <w:tcW w:w="1035" w:type="dxa"/>
            <w:vMerge w:val="continue"/>
            <w:tcMar>
              <w:top w:type="dxa" w:w="60"/>
              <w:left w:type="dxa" w:w="120"/>
              <w:bottom w:type="dxa" w:w="30"/>
              <w:right w:type="dxa" w:w="120"/>
            </w:tcMar>
          </w:tcPr>
          <w:p>
            <w:pPr>
              <w:spacing w:before="120" w:after="120" w:line="288" w:lineRule="auto"/>
              <w:ind w:left="0"/>
              <w:jc w:val="left"/>
            </w:pPr>
          </w:p>
        </w:tc>
        <w:tc>
          <w:tcPr>
            <w:tcW w:w="1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动火后</w:t>
            </w:r>
          </w:p>
        </w:tc>
        <w:tc>
          <w:tcPr>
            <w:tcW w:w="6030" w:type="dxa"/>
            <w:tcMar>
              <w:top w:type="dxa" w:w="60"/>
              <w:left w:type="dxa" w:w="120"/>
              <w:bottom w:type="dxa" w:w="30"/>
              <w:right w:type="dxa" w:w="120"/>
            </w:tcMar>
          </w:tcPr>
          <w:p>
            <w:pPr>
              <w:numPr>
                <w:numId w:val="144"/>
              </w:numPr>
              <w:spacing w:before="120" w:after="120" w:line="288" w:lineRule="auto"/>
              <w:ind w:left="0"/>
              <w:jc w:val="left"/>
            </w:pPr>
            <w:r>
              <w:rPr>
                <w:rFonts w:eastAsia="等线" w:ascii="Arial" w:cs="Arial" w:hAnsi="Arial"/>
                <w:sz w:val="22"/>
              </w:rPr>
              <w:t>巡逻岗彻底检查并监督作业方清理现场。</w:t>
            </w:r>
          </w:p>
        </w:tc>
      </w:tr>
      <w:tr>
        <w:tc>
          <w:tcPr>
            <w:tcW w:w="2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异常情况及突发事件处理</w:t>
            </w:r>
          </w:p>
        </w:tc>
        <w:tc>
          <w:tcPr>
            <w:tcW w:w="1215" w:type="dxa"/>
            <w:hMerge w:val="continue"/>
            <w:tcMar>
              <w:top w:type="dxa" w:w="60"/>
              <w:left w:type="dxa" w:w="120"/>
              <w:bottom w:type="dxa" w:w="30"/>
              <w:right w:type="dxa" w:w="120"/>
            </w:tcMar>
          </w:tcPr>
          <w:p>
            <w:pPr>
              <w:spacing w:before="120" w:after="120" w:line="288" w:lineRule="auto"/>
              <w:ind w:left="0"/>
              <w:jc w:val="left"/>
            </w:pPr>
          </w:p>
        </w:tc>
        <w:tc>
          <w:tcPr>
            <w:tcW w:w="6030" w:type="dxa"/>
            <w:tcMar>
              <w:top w:type="dxa" w:w="60"/>
              <w:left w:type="dxa" w:w="120"/>
              <w:bottom w:type="dxa" w:w="30"/>
              <w:right w:type="dxa" w:w="120"/>
            </w:tcMar>
          </w:tcPr>
          <w:p>
            <w:pPr>
              <w:numPr>
                <w:numId w:val="145"/>
              </w:numPr>
              <w:spacing w:before="120" w:after="120" w:line="288" w:lineRule="auto"/>
              <w:ind w:left="0"/>
              <w:jc w:val="left"/>
            </w:pPr>
            <w:r>
              <w:rPr>
                <w:rFonts w:eastAsia="等线" w:ascii="Arial" w:cs="Arial" w:hAnsi="Arial"/>
                <w:sz w:val="22"/>
              </w:rPr>
              <w:t>消防控制岗岗应及时发现并处理各类事故隐患及突发事件，启动对应应急预案流程，超出职权或无法处理的情况应及时汇报领导，并在《值班记录表》上做好记录。</w:t>
            </w:r>
          </w:p>
        </w:tc>
      </w:tr>
    </w:tbl>
    <w:p>
      <w:pPr>
        <w:pStyle w:val="2"/>
        <w:spacing w:before="320" w:after="120" w:line="288" w:lineRule="auto"/>
        <w:ind w:left="0"/>
        <w:jc w:val="left"/>
        <w:outlineLvl w:val="1"/>
      </w:pPr>
      <w:bookmarkStart w:name="heading_8" w:id="8"/>
      <w:r>
        <w:rPr>
          <w:rFonts w:eastAsia="等线" w:ascii="Arial" w:cs="Arial" w:hAnsi="Arial"/>
          <w:color w:val="3370ff"/>
          <w:sz w:val="32"/>
        </w:rPr>
        <w:t xml:space="preserve">4.5 </w:t>
      </w:r>
      <w:r>
        <w:rPr>
          <w:rFonts w:eastAsia="等线" w:ascii="Arial" w:cs="Arial" w:hAnsi="Arial"/>
          <w:b w:val="true"/>
          <w:sz w:val="32"/>
        </w:rPr>
        <w:t>车辆管理要求（秩序维护）</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035"/>
        <w:gridCol w:w="6060"/>
      </w:tblGrid>
      <w:tr>
        <w:tc>
          <w:tcPr>
            <w:tcW w:w="22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类别</w:t>
            </w:r>
          </w:p>
        </w:tc>
        <w:tc>
          <w:tcPr>
            <w:tcW w:w="1035" w:type="dxa"/>
            <w:hMerge w:val="continue"/>
            <w:tcMar>
              <w:top w:type="dxa" w:w="60"/>
              <w:left w:type="dxa" w:w="120"/>
              <w:bottom w:type="dxa" w:w="30"/>
              <w:right w:type="dxa" w:w="120"/>
            </w:tcMar>
          </w:tcPr>
          <w:p>
            <w:pPr>
              <w:spacing w:before="120" w:after="120" w:line="288" w:lineRule="auto"/>
              <w:ind w:left="0"/>
              <w:jc w:val="left"/>
            </w:pPr>
          </w:p>
        </w:tc>
        <w:tc>
          <w:tcPr>
            <w:tcW w:w="60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2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车辆管理岗</w:t>
            </w:r>
          </w:p>
        </w:tc>
        <w:tc>
          <w:tcPr>
            <w:tcW w:w="1035" w:type="dxa"/>
            <w:hMerge w:val="continue"/>
            <w:tcMar>
              <w:top w:type="dxa" w:w="60"/>
              <w:left w:type="dxa" w:w="120"/>
              <w:bottom w:type="dxa" w:w="30"/>
              <w:right w:type="dxa" w:w="120"/>
            </w:tcMar>
          </w:tcPr>
          <w:p>
            <w:pPr>
              <w:spacing w:before="120" w:after="120" w:line="288" w:lineRule="auto"/>
              <w:ind w:left="0"/>
              <w:jc w:val="left"/>
            </w:pPr>
          </w:p>
        </w:tc>
        <w:tc>
          <w:tcPr>
            <w:tcW w:w="6060" w:type="dxa"/>
            <w:tcMar>
              <w:top w:type="dxa" w:w="60"/>
              <w:left w:type="dxa" w:w="120"/>
              <w:bottom w:type="dxa" w:w="30"/>
              <w:right w:type="dxa" w:w="120"/>
            </w:tcMar>
          </w:tcPr>
          <w:p>
            <w:pPr>
              <w:numPr>
                <w:numId w:val="146"/>
              </w:numPr>
              <w:spacing w:before="120" w:after="120" w:line="288" w:lineRule="auto"/>
              <w:ind w:left="0"/>
              <w:jc w:val="left"/>
            </w:pPr>
            <w:r>
              <w:rPr>
                <w:rFonts w:eastAsia="等线" w:ascii="Arial" w:cs="Arial" w:hAnsi="Arial"/>
                <w:sz w:val="22"/>
              </w:rPr>
              <w:t>停车场岗人员应遵守《停车场秩序维护管理标准》中车辆管理岗岗位职责及《停车场管理制度》，对进出车辆及岗位秩序进行有效管控；对外来车辆应及时填写《车辆出入登记表》；执勤情况在《值班记录表》上做好相应登记。</w:t>
            </w:r>
          </w:p>
          <w:p>
            <w:pPr>
              <w:numPr>
                <w:numId w:val="147"/>
              </w:numPr>
              <w:spacing w:before="120" w:after="120" w:line="288" w:lineRule="auto"/>
              <w:ind w:left="0"/>
              <w:jc w:val="left"/>
            </w:pPr>
            <w:r>
              <w:rPr>
                <w:rFonts w:eastAsia="等线" w:ascii="Arial" w:cs="Arial" w:hAnsi="Arial"/>
                <w:sz w:val="22"/>
              </w:rPr>
              <w:t>岗亭值班室应进行相关制度的上墙措施。</w:t>
            </w:r>
          </w:p>
        </w:tc>
      </w:tr>
      <w:tr>
        <w:tc>
          <w:tcPr>
            <w:tcW w:w="118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停车场设施、设备</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停车场标识及设施</w:t>
            </w:r>
          </w:p>
        </w:tc>
        <w:tc>
          <w:tcPr>
            <w:tcW w:w="6060" w:type="dxa"/>
            <w:tcMar>
              <w:top w:type="dxa" w:w="60"/>
              <w:left w:type="dxa" w:w="120"/>
              <w:bottom w:type="dxa" w:w="30"/>
              <w:right w:type="dxa" w:w="120"/>
            </w:tcMar>
          </w:tcPr>
          <w:p>
            <w:pPr>
              <w:numPr>
                <w:numId w:val="148"/>
              </w:numPr>
              <w:spacing w:before="120" w:after="120" w:line="288" w:lineRule="auto"/>
              <w:ind w:left="0"/>
              <w:jc w:val="left"/>
            </w:pPr>
            <w:r>
              <w:rPr>
                <w:rFonts w:eastAsia="等线" w:ascii="Arial" w:cs="Arial" w:hAnsi="Arial"/>
                <w:sz w:val="22"/>
              </w:rPr>
              <w:t>车辆出入口应设置收费公示牌（按当地收费标准）。</w:t>
            </w:r>
          </w:p>
          <w:p>
            <w:pPr>
              <w:numPr>
                <w:numId w:val="149"/>
              </w:numPr>
              <w:spacing w:before="120" w:after="120" w:line="288" w:lineRule="auto"/>
              <w:ind w:left="0"/>
              <w:jc w:val="left"/>
            </w:pPr>
            <w:r>
              <w:rPr>
                <w:rFonts w:eastAsia="等线" w:ascii="Arial" w:cs="Arial" w:hAnsi="Arial"/>
                <w:sz w:val="22"/>
              </w:rPr>
              <w:t>停车场应满足现场需求设置自动道闸系统，推广及实施新型智能化车辆管理系统的运用，提高车辆管理服务质量。</w:t>
            </w:r>
          </w:p>
          <w:p>
            <w:pPr>
              <w:numPr>
                <w:numId w:val="150"/>
              </w:numPr>
              <w:spacing w:before="120" w:after="120" w:line="288" w:lineRule="auto"/>
              <w:ind w:left="0"/>
              <w:jc w:val="left"/>
            </w:pPr>
            <w:r>
              <w:rPr>
                <w:rFonts w:eastAsia="等线" w:ascii="Arial" w:cs="Arial" w:hAnsi="Arial"/>
                <w:sz w:val="22"/>
              </w:rPr>
              <w:t>停车场应在明显处设置安全防范提示，如防盗、随手关闭车窗、车门等。</w:t>
            </w:r>
          </w:p>
          <w:p>
            <w:pPr>
              <w:numPr>
                <w:numId w:val="151"/>
              </w:numPr>
              <w:spacing w:before="120" w:after="120" w:line="288" w:lineRule="auto"/>
              <w:ind w:left="0"/>
              <w:jc w:val="left"/>
            </w:pPr>
            <w:r>
              <w:rPr>
                <w:rFonts w:eastAsia="等线" w:ascii="Arial" w:cs="Arial" w:hAnsi="Arial"/>
                <w:sz w:val="22"/>
              </w:rPr>
              <w:t>在不同路段根据情况应设置禁停、限速、限高、导向、分道行驶、转向等交通标识，如学校、幼儿园、商业等。</w:t>
            </w:r>
          </w:p>
          <w:p>
            <w:pPr>
              <w:numPr>
                <w:numId w:val="152"/>
              </w:numPr>
              <w:spacing w:before="120" w:after="120" w:line="288" w:lineRule="auto"/>
              <w:ind w:left="0"/>
              <w:jc w:val="left"/>
            </w:pPr>
            <w:r>
              <w:rPr>
                <w:rFonts w:eastAsia="等线" w:ascii="Arial" w:cs="Arial" w:hAnsi="Arial"/>
                <w:sz w:val="22"/>
              </w:rPr>
              <w:t>在危险、弯道路段和存在安全隐患的地方，可设置警示牌和减速带。</w:t>
            </w:r>
          </w:p>
          <w:p>
            <w:pPr>
              <w:numPr>
                <w:numId w:val="153"/>
              </w:numPr>
              <w:spacing w:before="120" w:after="120" w:line="288" w:lineRule="auto"/>
              <w:ind w:left="0"/>
              <w:jc w:val="left"/>
            </w:pPr>
            <w:r>
              <w:rPr>
                <w:rFonts w:eastAsia="等线" w:ascii="Arial" w:cs="Arial" w:hAnsi="Arial"/>
                <w:sz w:val="22"/>
              </w:rPr>
              <w:t>设有专用车位的应有专用标识与车牌号码，如私家/固定车位、车牌号码。</w:t>
            </w:r>
          </w:p>
          <w:p>
            <w:pPr>
              <w:numPr>
                <w:numId w:val="154"/>
              </w:numPr>
              <w:spacing w:before="120" w:after="120" w:line="288" w:lineRule="auto"/>
              <w:ind w:left="0"/>
              <w:jc w:val="left"/>
            </w:pPr>
            <w:r>
              <w:rPr>
                <w:rFonts w:eastAsia="等线" w:ascii="Arial" w:cs="Arial" w:hAnsi="Arial"/>
                <w:sz w:val="22"/>
              </w:rPr>
              <w:t>在遮挡驾车人视线、影响车辆行驶，易发生交通事故的交叉路口及拐弯处须安装反光镜。</w:t>
            </w:r>
          </w:p>
          <w:p>
            <w:pPr>
              <w:numPr>
                <w:numId w:val="155"/>
              </w:numPr>
              <w:spacing w:before="120" w:after="120" w:line="288" w:lineRule="auto"/>
              <w:ind w:left="0"/>
              <w:jc w:val="left"/>
            </w:pPr>
            <w:r>
              <w:rPr>
                <w:rFonts w:eastAsia="等线" w:ascii="Arial" w:cs="Arial" w:hAnsi="Arial"/>
                <w:sz w:val="22"/>
              </w:rPr>
              <w:t>道闸杆应设置"一车一杆"标识。</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停车场照明</w:t>
            </w:r>
          </w:p>
        </w:tc>
        <w:tc>
          <w:tcPr>
            <w:tcW w:w="6060" w:type="dxa"/>
            <w:tcMar>
              <w:top w:type="dxa" w:w="60"/>
              <w:left w:type="dxa" w:w="120"/>
              <w:bottom w:type="dxa" w:w="30"/>
              <w:right w:type="dxa" w:w="120"/>
            </w:tcMar>
          </w:tcPr>
          <w:p>
            <w:pPr>
              <w:numPr>
                <w:numId w:val="156"/>
              </w:numPr>
              <w:spacing w:before="120" w:after="120" w:line="288" w:lineRule="auto"/>
              <w:ind w:left="0"/>
              <w:jc w:val="left"/>
            </w:pPr>
            <w:r>
              <w:rPr>
                <w:rFonts w:eastAsia="等线" w:ascii="Arial" w:cs="Arial" w:hAnsi="Arial"/>
                <w:sz w:val="22"/>
              </w:rPr>
              <w:t>照明灯具配套齐全，灯具完好无损，开关灵活，照明正常。</w:t>
            </w:r>
          </w:p>
          <w:p>
            <w:pPr>
              <w:numPr>
                <w:numId w:val="157"/>
              </w:numPr>
              <w:spacing w:before="120" w:after="120" w:line="288" w:lineRule="auto"/>
              <w:ind w:left="0"/>
              <w:jc w:val="left"/>
            </w:pPr>
            <w:r>
              <w:rPr>
                <w:rFonts w:eastAsia="等线" w:ascii="Arial" w:cs="Arial" w:hAnsi="Arial"/>
                <w:sz w:val="22"/>
              </w:rPr>
              <w:t>根据客户进入地下室车库的流线不同，保证主要通道照明的亮度满足要求。</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出入口设备配置（配置车场管理系统的）</w:t>
            </w:r>
          </w:p>
        </w:tc>
        <w:tc>
          <w:tcPr>
            <w:tcW w:w="6060" w:type="dxa"/>
            <w:tcMar>
              <w:top w:type="dxa" w:w="60"/>
              <w:left w:type="dxa" w:w="120"/>
              <w:bottom w:type="dxa" w:w="30"/>
              <w:right w:type="dxa" w:w="120"/>
            </w:tcMar>
          </w:tcPr>
          <w:p>
            <w:pPr>
              <w:numPr>
                <w:numId w:val="158"/>
              </w:numPr>
              <w:spacing w:before="120" w:after="120" w:line="288" w:lineRule="auto"/>
              <w:ind w:left="0"/>
              <w:jc w:val="left"/>
            </w:pPr>
            <w:r>
              <w:rPr>
                <w:rFonts w:eastAsia="等线" w:ascii="Arial" w:cs="Arial" w:hAnsi="Arial"/>
                <w:sz w:val="22"/>
              </w:rPr>
              <w:t xml:space="preserve">停车场管理系统主机、读卡器、红外探测器要能正常工作；道闸杆上装应设有防撞胶垫； </w:t>
            </w:r>
          </w:p>
          <w:p>
            <w:pPr>
              <w:numPr>
                <w:numId w:val="159"/>
              </w:numPr>
              <w:spacing w:before="120" w:after="120" w:line="288" w:lineRule="auto"/>
              <w:ind w:left="0"/>
              <w:jc w:val="left"/>
            </w:pPr>
            <w:r>
              <w:rPr>
                <w:rFonts w:eastAsia="等线" w:ascii="Arial" w:cs="Arial" w:hAnsi="Arial"/>
                <w:sz w:val="22"/>
              </w:rPr>
              <w:t>停车场出入口道闸出现故障或因其它原因暂时失去屏障功能时必须使用安全防范措施，如地桩、铁马等；保证出入口安全屏障的有效性。</w:t>
            </w:r>
          </w:p>
        </w:tc>
      </w:tr>
      <w:tr>
        <w:tc>
          <w:tcPr>
            <w:tcW w:w="118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车辆停放管理</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车辆进出</w:t>
            </w:r>
          </w:p>
        </w:tc>
        <w:tc>
          <w:tcPr>
            <w:tcW w:w="6060" w:type="dxa"/>
            <w:tcMar>
              <w:top w:type="dxa" w:w="60"/>
              <w:left w:type="dxa" w:w="120"/>
              <w:bottom w:type="dxa" w:w="30"/>
              <w:right w:type="dxa" w:w="120"/>
            </w:tcMar>
          </w:tcPr>
          <w:p>
            <w:pPr>
              <w:numPr>
                <w:numId w:val="160"/>
              </w:numPr>
              <w:spacing w:before="120" w:after="120" w:line="288" w:lineRule="auto"/>
              <w:ind w:left="0"/>
              <w:jc w:val="left"/>
            </w:pPr>
            <w:r>
              <w:rPr>
                <w:rFonts w:eastAsia="等线" w:ascii="Arial" w:cs="Arial" w:hAnsi="Arial"/>
                <w:sz w:val="22"/>
              </w:rPr>
              <w:t>车场秩序维护员要主动提醒车主按规定的行驶路线和车位行驶、停泊。</w:t>
            </w:r>
          </w:p>
          <w:p>
            <w:pPr>
              <w:numPr>
                <w:numId w:val="161"/>
              </w:numPr>
              <w:spacing w:before="120" w:after="120" w:line="288" w:lineRule="auto"/>
              <w:ind w:left="0"/>
              <w:jc w:val="left"/>
            </w:pPr>
            <w:r>
              <w:rPr>
                <w:rFonts w:eastAsia="等线" w:ascii="Arial" w:cs="Arial" w:hAnsi="Arial"/>
                <w:sz w:val="22"/>
              </w:rPr>
              <w:t>政府部门执行公务的车辆进场时，车场秩序维护员应询问来访事由，核实身份，并立即向上级领导汇报放行，并在《值班记录表》做好登记，出场时及时登记免费放行。</w:t>
            </w:r>
          </w:p>
          <w:p>
            <w:pPr>
              <w:numPr>
                <w:numId w:val="162"/>
              </w:numPr>
              <w:spacing w:before="120" w:after="120" w:line="288" w:lineRule="auto"/>
              <w:ind w:left="0"/>
              <w:jc w:val="left"/>
            </w:pPr>
            <w:r>
              <w:rPr>
                <w:rFonts w:eastAsia="等线" w:ascii="Arial" w:cs="Arial" w:hAnsi="Arial"/>
                <w:sz w:val="22"/>
              </w:rPr>
              <w:t>对驶入的运载货车,车场秩序维护员应检查车辆高度、宽度及是否符合规定以及有无携带易燃易爆等危险物品，并告知巡逻岗跟进。</w:t>
            </w:r>
          </w:p>
          <w:p>
            <w:pPr>
              <w:numPr>
                <w:numId w:val="163"/>
              </w:numPr>
              <w:spacing w:before="120" w:after="120" w:line="288" w:lineRule="auto"/>
              <w:ind w:left="0"/>
              <w:jc w:val="left"/>
            </w:pPr>
            <w:r>
              <w:rPr>
                <w:rFonts w:eastAsia="等线" w:ascii="Arial" w:cs="Arial" w:hAnsi="Arial"/>
                <w:sz w:val="22"/>
              </w:rPr>
              <w:t>当运载货车驶出时，应检查货箱。如带货驶出，须出具放行凭证。</w:t>
            </w:r>
          </w:p>
          <w:p>
            <w:pPr>
              <w:numPr>
                <w:numId w:val="164"/>
              </w:numPr>
              <w:spacing w:before="120" w:after="120" w:line="288" w:lineRule="auto"/>
              <w:ind w:left="0"/>
              <w:jc w:val="left"/>
            </w:pPr>
            <w:r>
              <w:rPr>
                <w:rFonts w:eastAsia="等线" w:ascii="Arial" w:cs="Arial" w:hAnsi="Arial"/>
                <w:sz w:val="22"/>
              </w:rPr>
              <w:t>当停车场（库）道闸系统出现故障需要人工操作时，车场秩序维护员应迅速在《车辆出入登记表》上准确填写进场车辆的车牌号码、日期、时间、值班人、车主签名。</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车辆停放</w:t>
            </w:r>
          </w:p>
        </w:tc>
        <w:tc>
          <w:tcPr>
            <w:tcW w:w="6060" w:type="dxa"/>
            <w:tcMar>
              <w:top w:type="dxa" w:w="60"/>
              <w:left w:type="dxa" w:w="120"/>
              <w:bottom w:type="dxa" w:w="30"/>
              <w:right w:type="dxa" w:w="120"/>
            </w:tcMar>
          </w:tcPr>
          <w:p>
            <w:pPr>
              <w:numPr>
                <w:numId w:val="165"/>
              </w:numPr>
              <w:spacing w:before="120" w:after="120" w:line="288" w:lineRule="auto"/>
              <w:ind w:left="0"/>
              <w:jc w:val="left"/>
            </w:pPr>
            <w:r>
              <w:rPr>
                <w:rFonts w:eastAsia="等线" w:ascii="Arial" w:cs="Arial" w:hAnsi="Arial"/>
                <w:sz w:val="22"/>
              </w:rPr>
              <w:t>车场巡逻人员应引导车辆按规定停放，维护车场良好秩序。</w:t>
            </w:r>
          </w:p>
          <w:p>
            <w:pPr>
              <w:numPr>
                <w:numId w:val="166"/>
              </w:numPr>
              <w:spacing w:before="120" w:after="120" w:line="288" w:lineRule="auto"/>
              <w:ind w:left="0"/>
              <w:jc w:val="left"/>
            </w:pPr>
            <w:r>
              <w:rPr>
                <w:rFonts w:eastAsia="等线" w:ascii="Arial" w:cs="Arial" w:hAnsi="Arial"/>
                <w:sz w:val="22"/>
              </w:rPr>
              <w:t>不在本车固定车位停放、不按规定任意停放或在消防车道停放时应及时劝阻，在《值班记录表》上做好记录，并张贴《停车温馨提示单》。</w:t>
            </w:r>
          </w:p>
          <w:p>
            <w:pPr>
              <w:numPr>
                <w:numId w:val="167"/>
              </w:numPr>
              <w:spacing w:before="120" w:after="120" w:line="288" w:lineRule="auto"/>
              <w:ind w:left="0"/>
              <w:jc w:val="left"/>
            </w:pPr>
            <w:r>
              <w:rPr>
                <w:rFonts w:eastAsia="等线" w:ascii="Arial" w:cs="Arial" w:hAnsi="Arial"/>
                <w:sz w:val="22"/>
              </w:rPr>
              <w:t>车主停放后应及时检查车辆（车辆是否损坏；车窗是否关闭；车内是否有贵重物品），发现车辆异常情况应及时告诉车主并在《值班记录表》上做好记录。</w:t>
            </w:r>
          </w:p>
        </w:tc>
      </w:tr>
      <w:tr>
        <w:tc>
          <w:tcPr>
            <w:tcW w:w="1185" w:type="dxa"/>
            <w:vMerge w:val="continue"/>
            <w:tcMar>
              <w:top w:type="dxa" w:w="60"/>
              <w:left w:type="dxa" w:w="120"/>
              <w:bottom w:type="dxa" w:w="30"/>
              <w:right w:type="dxa" w:w="120"/>
            </w:tcMar>
          </w:tcPr>
          <w:p>
            <w:pPr>
              <w:spacing w:before="120" w:after="120" w:line="288" w:lineRule="auto"/>
              <w:ind w:left="0"/>
              <w:jc w:val="left"/>
            </w:pP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w:t>
            </w:r>
          </w:p>
        </w:tc>
        <w:tc>
          <w:tcPr>
            <w:tcW w:w="6060" w:type="dxa"/>
            <w:tcMar>
              <w:top w:type="dxa" w:w="60"/>
              <w:left w:type="dxa" w:w="120"/>
              <w:bottom w:type="dxa" w:w="30"/>
              <w:right w:type="dxa" w:w="120"/>
            </w:tcMar>
          </w:tcPr>
          <w:p>
            <w:pPr>
              <w:numPr>
                <w:numId w:val="168"/>
              </w:numPr>
              <w:spacing w:before="120" w:after="120" w:line="288" w:lineRule="auto"/>
              <w:ind w:left="0"/>
              <w:jc w:val="left"/>
            </w:pPr>
            <w:r>
              <w:rPr>
                <w:rFonts w:eastAsia="等线" w:ascii="Arial" w:cs="Arial" w:hAnsi="Arial"/>
                <w:sz w:val="22"/>
              </w:rPr>
              <w:t>车场道闸故障时应即时报修并在《值班记录表》上做好记录。</w:t>
            </w:r>
          </w:p>
          <w:p>
            <w:pPr>
              <w:numPr>
                <w:numId w:val="169"/>
              </w:numPr>
              <w:spacing w:before="120" w:after="120" w:line="288" w:lineRule="auto"/>
              <w:ind w:left="0"/>
              <w:jc w:val="left"/>
            </w:pPr>
            <w:r>
              <w:rPr>
                <w:rFonts w:eastAsia="等线" w:ascii="Arial" w:cs="Arial" w:hAnsi="Arial"/>
                <w:sz w:val="22"/>
              </w:rPr>
              <w:t>车场道闸故障应即时疏通出入口，并在出入口摆放温馨提示。</w:t>
            </w:r>
          </w:p>
          <w:p>
            <w:pPr>
              <w:numPr>
                <w:numId w:val="170"/>
              </w:numPr>
              <w:spacing w:before="120" w:after="120" w:line="288" w:lineRule="auto"/>
              <w:ind w:left="0"/>
              <w:jc w:val="left"/>
            </w:pPr>
            <w:r>
              <w:rPr>
                <w:rFonts w:eastAsia="等线" w:ascii="Arial" w:cs="Arial" w:hAnsi="Arial"/>
                <w:sz w:val="22"/>
              </w:rPr>
              <w:t xml:space="preserve">停车场管理（特定物业项目涉及地下车库多层）应进行分区域管理，落实停车指引服务及专项车辆停放的监管工作。 </w:t>
            </w:r>
          </w:p>
        </w:tc>
      </w:tr>
      <w:tr>
        <w:tc>
          <w:tcPr>
            <w:tcW w:w="22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异常情况及突发事件处理</w:t>
            </w:r>
          </w:p>
        </w:tc>
        <w:tc>
          <w:tcPr>
            <w:tcW w:w="1035" w:type="dxa"/>
            <w:hMerge w:val="continue"/>
            <w:tcMar>
              <w:top w:type="dxa" w:w="60"/>
              <w:left w:type="dxa" w:w="120"/>
              <w:bottom w:type="dxa" w:w="30"/>
              <w:right w:type="dxa" w:w="120"/>
            </w:tcMar>
          </w:tcPr>
          <w:p>
            <w:pPr>
              <w:spacing w:before="120" w:after="120" w:line="288" w:lineRule="auto"/>
              <w:ind w:left="0"/>
              <w:jc w:val="left"/>
            </w:pPr>
          </w:p>
        </w:tc>
        <w:tc>
          <w:tcPr>
            <w:tcW w:w="6060" w:type="dxa"/>
            <w:tcMar>
              <w:top w:type="dxa" w:w="60"/>
              <w:left w:type="dxa" w:w="120"/>
              <w:bottom w:type="dxa" w:w="30"/>
              <w:right w:type="dxa" w:w="120"/>
            </w:tcMar>
          </w:tcPr>
          <w:p>
            <w:pPr>
              <w:numPr>
                <w:numId w:val="171"/>
              </w:numPr>
              <w:spacing w:before="120" w:after="120" w:line="288" w:lineRule="auto"/>
              <w:ind w:left="0"/>
              <w:jc w:val="left"/>
            </w:pPr>
            <w:r>
              <w:rPr>
                <w:rFonts w:eastAsia="等线" w:ascii="Arial" w:cs="Arial" w:hAnsi="Arial"/>
                <w:sz w:val="22"/>
              </w:rPr>
              <w:t>车辆管理岗应及时发现并处理各类事故隐患及突发事件，启动对应应急预案流程，超出职权或无法处理的情况应及时汇报领导，并在《值班记录表》上做好记录。</w:t>
            </w:r>
          </w:p>
        </w:tc>
      </w:tr>
    </w:tbl>
    <w:p>
      <w:pPr>
        <w:pStyle w:val="2"/>
        <w:spacing w:before="320" w:after="120" w:line="288" w:lineRule="auto"/>
        <w:ind w:left="0"/>
        <w:jc w:val="left"/>
        <w:outlineLvl w:val="1"/>
      </w:pPr>
      <w:bookmarkStart w:name="heading_9" w:id="9"/>
      <w:r>
        <w:rPr>
          <w:rFonts w:eastAsia="等线" w:ascii="Arial" w:cs="Arial" w:hAnsi="Arial"/>
          <w:color w:val="3370ff"/>
          <w:sz w:val="32"/>
        </w:rPr>
        <w:t xml:space="preserve">4.6 </w:t>
      </w:r>
      <w:r>
        <w:rPr>
          <w:rFonts w:eastAsia="等线" w:ascii="Arial" w:cs="Arial" w:hAnsi="Arial"/>
          <w:b w:val="true"/>
          <w:sz w:val="32"/>
        </w:rPr>
        <w:t>秩序维护安防装备管理要求</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20"/>
        <w:gridCol w:w="6060"/>
      </w:tblGrid>
      <w:tr>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60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2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装备管理</w:t>
            </w:r>
          </w:p>
        </w:tc>
        <w:tc>
          <w:tcPr>
            <w:tcW w:w="6060" w:type="dxa"/>
            <w:tcMar>
              <w:top w:type="dxa" w:w="60"/>
              <w:left w:type="dxa" w:w="120"/>
              <w:bottom w:type="dxa" w:w="30"/>
              <w:right w:type="dxa" w:w="120"/>
            </w:tcMar>
          </w:tcPr>
          <w:p>
            <w:pPr>
              <w:numPr>
                <w:numId w:val="172"/>
              </w:numPr>
              <w:spacing w:before="120" w:after="120" w:line="288" w:lineRule="auto"/>
              <w:ind w:left="0"/>
              <w:jc w:val="left"/>
            </w:pPr>
            <w:r>
              <w:rPr>
                <w:rFonts w:eastAsia="等线" w:ascii="Arial" w:cs="Arial" w:hAnsi="Arial"/>
                <w:sz w:val="22"/>
              </w:rPr>
              <w:t>秩序维护岗位所用器具应保持完好，摆放整齐，标识清楚，应急工具电力充足，不影响正常使用。</w:t>
            </w:r>
          </w:p>
          <w:p>
            <w:pPr>
              <w:numPr>
                <w:numId w:val="173"/>
              </w:numPr>
              <w:spacing w:before="120" w:after="120" w:line="288" w:lineRule="auto"/>
              <w:ind w:left="0"/>
              <w:jc w:val="left"/>
            </w:pPr>
            <w:r>
              <w:rPr>
                <w:rFonts w:eastAsia="等线" w:ascii="Arial" w:cs="Arial" w:hAnsi="Arial"/>
                <w:sz w:val="22"/>
              </w:rPr>
              <w:t>秩序维护部门须建立《秩序维护安防物资装备台账》，列明对讲机、岗位物资的配置情况及摆放区域。</w:t>
            </w:r>
          </w:p>
        </w:tc>
      </w:tr>
    </w:tbl>
    <w:p>
      <w:pPr>
        <w:pStyle w:val="2"/>
        <w:spacing w:before="320" w:after="120" w:line="288" w:lineRule="auto"/>
        <w:ind w:left="0"/>
        <w:jc w:val="left"/>
        <w:outlineLvl w:val="1"/>
      </w:pPr>
      <w:bookmarkStart w:name="heading_10" w:id="10"/>
      <w:r>
        <w:rPr>
          <w:rFonts w:eastAsia="等线" w:ascii="Arial" w:cs="Arial" w:hAnsi="Arial"/>
          <w:color w:val="3370ff"/>
          <w:sz w:val="32"/>
        </w:rPr>
        <w:t xml:space="preserve">4.7 </w:t>
      </w:r>
      <w:r>
        <w:rPr>
          <w:rFonts w:eastAsia="等线" w:ascii="Arial" w:cs="Arial" w:hAnsi="Arial"/>
          <w:b w:val="true"/>
          <w:sz w:val="32"/>
        </w:rPr>
        <w:t>应急管理要求</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75"/>
        <w:gridCol w:w="930"/>
        <w:gridCol w:w="6075"/>
      </w:tblGrid>
      <w:tr>
        <w:tc>
          <w:tcPr>
            <w:tcW w:w="22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类别</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607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要求</w:t>
            </w:r>
          </w:p>
        </w:tc>
      </w:tr>
      <w:tr>
        <w:tc>
          <w:tcPr>
            <w:tcW w:w="22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应急管理要求</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6075" w:type="dxa"/>
            <w:tcMar>
              <w:top w:type="dxa" w:w="60"/>
              <w:left w:type="dxa" w:w="120"/>
              <w:bottom w:type="dxa" w:w="30"/>
              <w:right w:type="dxa" w:w="120"/>
            </w:tcMar>
          </w:tcPr>
          <w:p>
            <w:pPr>
              <w:numPr>
                <w:numId w:val="174"/>
              </w:numPr>
              <w:spacing w:before="120" w:after="120" w:line="288" w:lineRule="auto"/>
              <w:ind w:left="0"/>
              <w:jc w:val="left"/>
            </w:pPr>
            <w:r>
              <w:rPr>
                <w:rFonts w:eastAsia="等线" w:ascii="Arial" w:cs="Arial" w:hAnsi="Arial"/>
                <w:sz w:val="22"/>
              </w:rPr>
              <w:t>任何突发事件应及时向物业服务中心报告，并将情况记录在《值班记录表》内。</w:t>
            </w:r>
          </w:p>
          <w:p>
            <w:pPr>
              <w:numPr>
                <w:numId w:val="175"/>
              </w:numPr>
              <w:spacing w:before="120" w:after="120" w:line="288" w:lineRule="auto"/>
              <w:ind w:left="0"/>
              <w:jc w:val="left"/>
            </w:pPr>
            <w:r>
              <w:rPr>
                <w:rFonts w:eastAsia="等线" w:ascii="Arial" w:cs="Arial" w:hAnsi="Arial"/>
                <w:sz w:val="22"/>
              </w:rPr>
              <w:t>物业服务区内突发事件处理后，涉及公众的，物业服务中心应当在物业服务区内公告事件的基本情况，并对公众致歉；涉及个别客户的，物业项目经理应亲自上门向客户致歉。</w:t>
            </w:r>
          </w:p>
          <w:p>
            <w:pPr>
              <w:numPr>
                <w:numId w:val="176"/>
              </w:numPr>
              <w:spacing w:before="120" w:after="120" w:line="288" w:lineRule="auto"/>
              <w:ind w:left="0"/>
              <w:jc w:val="left"/>
            </w:pPr>
            <w:r>
              <w:rPr>
                <w:rFonts w:eastAsia="等线" w:ascii="Arial" w:cs="Arial" w:hAnsi="Arial"/>
                <w:sz w:val="22"/>
              </w:rPr>
              <w:t>物业服务区突发事件处理后，应由项目经理填写《突发事件处理表》，详细说明事件发生的情况、处理的方法及处理结果，并报区域公司运营部门备案。</w:t>
            </w:r>
          </w:p>
        </w:tc>
      </w:tr>
      <w:tr>
        <w:tc>
          <w:tcPr>
            <w:tcW w:w="22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应急预案演练要求</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6075" w:type="dxa"/>
            <w:tcMar>
              <w:top w:type="dxa" w:w="60"/>
              <w:left w:type="dxa" w:w="120"/>
              <w:bottom w:type="dxa" w:w="30"/>
              <w:right w:type="dxa" w:w="120"/>
            </w:tcMar>
          </w:tcPr>
          <w:p>
            <w:pPr>
              <w:numPr>
                <w:numId w:val="177"/>
              </w:numPr>
              <w:spacing w:before="120" w:after="120" w:line="288" w:lineRule="auto"/>
              <w:ind w:left="0"/>
              <w:jc w:val="left"/>
            </w:pPr>
            <w:r>
              <w:rPr>
                <w:rFonts w:eastAsia="等线" w:ascii="Arial" w:cs="Arial" w:hAnsi="Arial"/>
                <w:sz w:val="22"/>
              </w:rPr>
              <w:t>应熟悉应急预案的内容及处理流程，按《应急预案SOP合集》执行。</w:t>
            </w:r>
          </w:p>
          <w:p>
            <w:pPr>
              <w:numPr>
                <w:numId w:val="178"/>
              </w:numPr>
              <w:spacing w:before="120" w:after="120" w:line="288" w:lineRule="auto"/>
              <w:ind w:left="0"/>
              <w:jc w:val="left"/>
            </w:pPr>
            <w:r>
              <w:rPr>
                <w:rFonts w:eastAsia="等线" w:ascii="Arial" w:cs="Arial" w:hAnsi="Arial"/>
                <w:sz w:val="22"/>
              </w:rPr>
              <w:t>应熟悉区域内疏散通道分布图。</w:t>
            </w:r>
          </w:p>
          <w:p>
            <w:pPr>
              <w:numPr>
                <w:numId w:val="179"/>
              </w:numPr>
              <w:spacing w:before="120" w:after="120" w:line="288" w:lineRule="auto"/>
              <w:ind w:left="0"/>
              <w:jc w:val="left"/>
            </w:pPr>
            <w:r>
              <w:rPr>
                <w:rFonts w:eastAsia="等线" w:ascii="Arial" w:cs="Arial" w:hAnsi="Arial"/>
                <w:sz w:val="22"/>
              </w:rPr>
              <w:t>演练方案应通过项目经理审核。</w:t>
            </w:r>
          </w:p>
          <w:p>
            <w:pPr>
              <w:numPr>
                <w:numId w:val="180"/>
              </w:numPr>
              <w:spacing w:before="120" w:after="120" w:line="288" w:lineRule="auto"/>
              <w:ind w:left="0"/>
              <w:jc w:val="left"/>
            </w:pPr>
            <w:r>
              <w:rPr>
                <w:rFonts w:eastAsia="等线" w:ascii="Arial" w:cs="Arial" w:hAnsi="Arial"/>
                <w:sz w:val="22"/>
              </w:rPr>
              <w:t>各项目每年对所有制定的应急预案应进行不少于一次的覆盖性演练；消防演练特定情况应每半年进行一次。</w:t>
            </w:r>
          </w:p>
        </w:tc>
      </w:tr>
      <w:tr>
        <w:tc>
          <w:tcPr>
            <w:tcW w:w="127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常见事件处置</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治安类事件处置</w:t>
            </w:r>
          </w:p>
        </w:tc>
        <w:tc>
          <w:tcPr>
            <w:tcW w:w="6075" w:type="dxa"/>
            <w:tcMar>
              <w:top w:type="dxa" w:w="60"/>
              <w:left w:type="dxa" w:w="120"/>
              <w:bottom w:type="dxa" w:w="30"/>
              <w:right w:type="dxa" w:w="120"/>
            </w:tcMar>
          </w:tcPr>
          <w:p>
            <w:pPr>
              <w:numPr>
                <w:numId w:val="181"/>
              </w:numPr>
              <w:spacing w:before="120" w:after="120" w:line="288" w:lineRule="auto"/>
              <w:ind w:left="0"/>
              <w:jc w:val="left"/>
            </w:pPr>
            <w:r>
              <w:rPr>
                <w:rFonts w:eastAsia="等线" w:ascii="Arial" w:cs="Arial" w:hAnsi="Arial"/>
                <w:sz w:val="22"/>
              </w:rPr>
              <w:t>盗窃事件：发现可疑人员应立即询问并跟踪，必要时报警处理；保护现场，协助公安机关调查取证。</w:t>
            </w:r>
          </w:p>
          <w:p>
            <w:pPr>
              <w:numPr>
                <w:numId w:val="182"/>
              </w:numPr>
              <w:spacing w:before="120" w:after="120" w:line="288" w:lineRule="auto"/>
              <w:ind w:left="0"/>
              <w:jc w:val="left"/>
            </w:pPr>
            <w:r>
              <w:rPr>
                <w:rFonts w:eastAsia="等线" w:ascii="Arial" w:cs="Arial" w:hAnsi="Arial"/>
                <w:sz w:val="22"/>
              </w:rPr>
              <w:t>抢劫事件：应立即报警，在确保自身安全前提下制止违法行为，保护受害人安全。</w:t>
            </w:r>
          </w:p>
          <w:p>
            <w:pPr>
              <w:numPr>
                <w:numId w:val="183"/>
              </w:numPr>
              <w:spacing w:before="120" w:after="120" w:line="288" w:lineRule="auto"/>
              <w:ind w:left="0"/>
              <w:jc w:val="left"/>
            </w:pPr>
            <w:r>
              <w:rPr>
                <w:rFonts w:eastAsia="等线" w:ascii="Arial" w:cs="Arial" w:hAnsi="Arial"/>
                <w:sz w:val="22"/>
              </w:rPr>
              <w:t>斗殴事件：应立即制止并隔离双方，必要时报警；做好现场记录，协助相关部门处理。</w:t>
            </w:r>
          </w:p>
          <w:p>
            <w:pPr>
              <w:numPr>
                <w:numId w:val="184"/>
              </w:numPr>
              <w:spacing w:before="120" w:after="120" w:line="288" w:lineRule="auto"/>
              <w:ind w:left="0"/>
              <w:jc w:val="left"/>
            </w:pPr>
            <w:r>
              <w:rPr>
                <w:rFonts w:eastAsia="等线" w:ascii="Arial" w:cs="Arial" w:hAnsi="Arial"/>
                <w:sz w:val="22"/>
              </w:rPr>
              <w:t>可疑物品/人员：发现可疑物品不得擅自移动，应立即上报并疏散周边人员；发现可疑人员应主动询问并跟踪观察。</w:t>
            </w:r>
          </w:p>
          <w:p>
            <w:pPr>
              <w:numPr>
                <w:numId w:val="185"/>
              </w:numPr>
              <w:spacing w:before="120" w:after="120" w:line="288" w:lineRule="auto"/>
              <w:ind w:left="0"/>
              <w:jc w:val="left"/>
            </w:pPr>
            <w:r>
              <w:rPr>
                <w:rFonts w:eastAsia="等线" w:ascii="Arial" w:cs="Arial" w:hAnsi="Arial"/>
                <w:sz w:val="22"/>
              </w:rPr>
              <w:t>高空坠物：发现高空坠物应立即警戒隔离、疏散人员，排查风险源；造成损失的，应保护现场、协助取证并做好客户沟通。</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消防类事件处置</w:t>
            </w:r>
          </w:p>
        </w:tc>
        <w:tc>
          <w:tcPr>
            <w:tcW w:w="6075" w:type="dxa"/>
            <w:tcMar>
              <w:top w:type="dxa" w:w="60"/>
              <w:left w:type="dxa" w:w="120"/>
              <w:bottom w:type="dxa" w:w="30"/>
              <w:right w:type="dxa" w:w="120"/>
            </w:tcMar>
          </w:tcPr>
          <w:p>
            <w:pPr>
              <w:numPr>
                <w:numId w:val="186"/>
              </w:numPr>
              <w:spacing w:before="120" w:after="120" w:line="288" w:lineRule="auto"/>
              <w:ind w:left="0"/>
              <w:jc w:val="left"/>
            </w:pPr>
            <w:r>
              <w:rPr>
                <w:rFonts w:eastAsia="等线" w:ascii="Arial" w:cs="Arial" w:hAnsi="Arial"/>
                <w:sz w:val="22"/>
              </w:rPr>
              <w:t>火灾事件：应立即拨打119报警，启动消防应急预案，组织人员疏散，在确保安全前提下进行初期灭火。</w:t>
            </w:r>
          </w:p>
          <w:p>
            <w:pPr>
              <w:numPr>
                <w:numId w:val="187"/>
              </w:numPr>
              <w:spacing w:before="120" w:after="120" w:line="288" w:lineRule="auto"/>
              <w:ind w:left="0"/>
              <w:jc w:val="left"/>
            </w:pPr>
            <w:r>
              <w:rPr>
                <w:rFonts w:eastAsia="等线" w:ascii="Arial" w:cs="Arial" w:hAnsi="Arial"/>
                <w:sz w:val="22"/>
              </w:rPr>
              <w:t>烟雾报警：应迅速查明报警原因，确认是否真实火情，及时处置并做好记录。</w:t>
            </w:r>
          </w:p>
          <w:p>
            <w:pPr>
              <w:numPr>
                <w:numId w:val="188"/>
              </w:numPr>
              <w:spacing w:before="120" w:after="120" w:line="288" w:lineRule="auto"/>
              <w:ind w:left="0"/>
              <w:jc w:val="left"/>
            </w:pPr>
            <w:r>
              <w:rPr>
                <w:rFonts w:eastAsia="等线" w:ascii="Arial" w:cs="Arial" w:hAnsi="Arial"/>
                <w:sz w:val="22"/>
              </w:rPr>
              <w:t>消防设施故障：应立即报修，做好应急措施，确保消防安全不受影响。</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自然灾害类处置</w:t>
            </w:r>
          </w:p>
        </w:tc>
        <w:tc>
          <w:tcPr>
            <w:tcW w:w="6075" w:type="dxa"/>
            <w:tcMar>
              <w:top w:type="dxa" w:w="60"/>
              <w:left w:type="dxa" w:w="120"/>
              <w:bottom w:type="dxa" w:w="30"/>
              <w:right w:type="dxa" w:w="120"/>
            </w:tcMar>
          </w:tcPr>
          <w:p>
            <w:pPr>
              <w:numPr>
                <w:numId w:val="189"/>
              </w:numPr>
              <w:spacing w:before="120" w:after="120" w:line="288" w:lineRule="auto"/>
              <w:ind w:left="0"/>
              <w:jc w:val="left"/>
            </w:pPr>
            <w:r>
              <w:rPr>
                <w:rFonts w:eastAsia="等线" w:ascii="Arial" w:cs="Arial" w:hAnsi="Arial"/>
                <w:sz w:val="22"/>
              </w:rPr>
              <w:t>台风天气：应提前做好防范准备，加固或移除易倒物品，关闭公共区域门窗，加强巡查。</w:t>
            </w:r>
          </w:p>
          <w:p>
            <w:pPr>
              <w:numPr>
                <w:numId w:val="190"/>
              </w:numPr>
              <w:spacing w:before="120" w:after="120" w:line="288" w:lineRule="auto"/>
              <w:ind w:left="0"/>
              <w:jc w:val="left"/>
            </w:pPr>
            <w:r>
              <w:rPr>
                <w:rFonts w:eastAsia="等线" w:ascii="Arial" w:cs="Arial" w:hAnsi="Arial"/>
                <w:sz w:val="22"/>
              </w:rPr>
              <w:t>暴雨天气：应检查排水设施，准备防汛物资，关注低洼区域积水情况，必要时组织人员转移。</w:t>
            </w:r>
          </w:p>
          <w:p>
            <w:pPr>
              <w:numPr>
                <w:numId w:val="191"/>
              </w:numPr>
              <w:spacing w:before="120" w:after="120" w:line="288" w:lineRule="auto"/>
              <w:ind w:left="0"/>
              <w:jc w:val="left"/>
            </w:pPr>
            <w:r>
              <w:rPr>
                <w:rFonts w:eastAsia="等线" w:ascii="Arial" w:cs="Arial" w:hAnsi="Arial"/>
                <w:sz w:val="22"/>
              </w:rPr>
              <w:t>地震灾害：地震发生时应引导人员就近避险，震后组织有序疏散，检查建筑及设施安全。</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公共卫生类处置</w:t>
            </w:r>
          </w:p>
        </w:tc>
        <w:tc>
          <w:tcPr>
            <w:tcW w:w="6075" w:type="dxa"/>
            <w:tcMar>
              <w:top w:type="dxa" w:w="60"/>
              <w:left w:type="dxa" w:w="120"/>
              <w:bottom w:type="dxa" w:w="30"/>
              <w:right w:type="dxa" w:w="120"/>
            </w:tcMar>
          </w:tcPr>
          <w:p>
            <w:pPr>
              <w:numPr>
                <w:numId w:val="192"/>
              </w:numPr>
              <w:spacing w:before="120" w:after="120" w:line="288" w:lineRule="auto"/>
              <w:ind w:left="0"/>
              <w:jc w:val="left"/>
            </w:pPr>
            <w:r>
              <w:rPr>
                <w:rFonts w:eastAsia="等线" w:ascii="Arial" w:cs="Arial" w:hAnsi="Arial"/>
                <w:sz w:val="22"/>
              </w:rPr>
              <w:t>传染病疫情：应配合卫生部门做好防控工作，加强公共区域消毒，做好人员健康监测。</w:t>
            </w:r>
          </w:p>
          <w:p>
            <w:pPr>
              <w:numPr>
                <w:numId w:val="193"/>
              </w:numPr>
              <w:spacing w:before="120" w:after="120" w:line="288" w:lineRule="auto"/>
              <w:ind w:left="0"/>
              <w:jc w:val="left"/>
            </w:pPr>
            <w:r>
              <w:rPr>
                <w:rFonts w:eastAsia="等线" w:ascii="Arial" w:cs="Arial" w:hAnsi="Arial"/>
                <w:sz w:val="22"/>
              </w:rPr>
              <w:t>食物中毒：应发现情况立即拨打120，保护现场，协助调查中毒原因。</w:t>
            </w:r>
          </w:p>
          <w:p>
            <w:pPr>
              <w:numPr>
                <w:numId w:val="194"/>
              </w:numPr>
              <w:spacing w:before="120" w:after="120" w:line="288" w:lineRule="auto"/>
              <w:ind w:left="0"/>
              <w:jc w:val="left"/>
            </w:pPr>
            <w:r>
              <w:rPr>
                <w:rFonts w:eastAsia="等线" w:ascii="Arial" w:cs="Arial" w:hAnsi="Arial"/>
                <w:sz w:val="22"/>
              </w:rPr>
              <w:t>环境污染事件：应发现异常情况立即上报，疏散人员，配合相关部门处置。</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设施设备类处置</w:t>
            </w:r>
          </w:p>
        </w:tc>
        <w:tc>
          <w:tcPr>
            <w:tcW w:w="6075" w:type="dxa"/>
            <w:tcMar>
              <w:top w:type="dxa" w:w="60"/>
              <w:left w:type="dxa" w:w="120"/>
              <w:bottom w:type="dxa" w:w="30"/>
              <w:right w:type="dxa" w:w="120"/>
            </w:tcMar>
          </w:tcPr>
          <w:p>
            <w:pPr>
              <w:numPr>
                <w:numId w:val="195"/>
              </w:numPr>
              <w:spacing w:before="120" w:after="120" w:line="288" w:lineRule="auto"/>
              <w:ind w:left="0"/>
              <w:jc w:val="left"/>
            </w:pPr>
            <w:r>
              <w:rPr>
                <w:rFonts w:eastAsia="等线" w:ascii="Arial" w:cs="Arial" w:hAnsi="Arial"/>
                <w:sz w:val="22"/>
              </w:rPr>
              <w:t>电梯困人：应立即启动电梯困人应急预案，安抚被困人员，联系电梯维保单位救援。</w:t>
            </w:r>
          </w:p>
          <w:p>
            <w:pPr>
              <w:numPr>
                <w:numId w:val="196"/>
              </w:numPr>
              <w:spacing w:before="120" w:after="120" w:line="288" w:lineRule="auto"/>
              <w:ind w:left="0"/>
              <w:jc w:val="left"/>
            </w:pPr>
            <w:r>
              <w:rPr>
                <w:rFonts w:eastAsia="等线" w:ascii="Arial" w:cs="Arial" w:hAnsi="Arial"/>
                <w:sz w:val="22"/>
              </w:rPr>
              <w:t>停电事件：应启动备用电源，做好照明引导，加强重点区域巡查，做好客户解释工作。</w:t>
            </w:r>
          </w:p>
          <w:p>
            <w:pPr>
              <w:numPr>
                <w:numId w:val="197"/>
              </w:numPr>
              <w:spacing w:before="120" w:after="120" w:line="288" w:lineRule="auto"/>
              <w:ind w:left="0"/>
              <w:jc w:val="left"/>
            </w:pPr>
            <w:r>
              <w:rPr>
                <w:rFonts w:eastAsia="等线" w:ascii="Arial" w:cs="Arial" w:hAnsi="Arial"/>
                <w:sz w:val="22"/>
              </w:rPr>
              <w:t>水管爆裂：应立即关闭阀门，组织排水，保护重要设施，联系维修人员抢修。</w:t>
            </w:r>
          </w:p>
          <w:p>
            <w:pPr>
              <w:numPr>
                <w:numId w:val="198"/>
              </w:numPr>
              <w:spacing w:before="120" w:after="120" w:line="288" w:lineRule="auto"/>
              <w:ind w:left="0"/>
              <w:jc w:val="left"/>
            </w:pPr>
            <w:r>
              <w:rPr>
                <w:rFonts w:eastAsia="等线" w:ascii="Arial" w:cs="Arial" w:hAnsi="Arial"/>
                <w:sz w:val="22"/>
              </w:rPr>
              <w:t>燃气泄漏：应立即关闭阀门，开启通风，疏散人员，严禁明火，联系燃气公司处理。</w:t>
            </w:r>
          </w:p>
          <w:p>
            <w:pPr>
              <w:numPr>
                <w:numId w:val="199"/>
              </w:numPr>
              <w:spacing w:before="120" w:after="120" w:line="288" w:lineRule="auto"/>
              <w:ind w:left="0"/>
              <w:jc w:val="left"/>
            </w:pPr>
            <w:r>
              <w:rPr>
                <w:rFonts w:eastAsia="等线" w:ascii="Arial" w:cs="Arial" w:hAnsi="Arial"/>
                <w:sz w:val="22"/>
              </w:rPr>
              <w:t>有限空间：进入化粪池、消防水池等有限空间应办理专项许可，严格执行“先通风、再检测、后作业”，落实全程监护与应急准备，严禁无防护作业。</w:t>
            </w:r>
          </w:p>
        </w:tc>
      </w:tr>
      <w:tr>
        <w:tc>
          <w:tcPr>
            <w:tcW w:w="1275" w:type="dxa"/>
            <w:vMerge w:val="continue"/>
            <w:tcMar>
              <w:top w:type="dxa" w:w="60"/>
              <w:left w:type="dxa" w:w="120"/>
              <w:bottom w:type="dxa" w:w="30"/>
              <w:right w:type="dxa" w:w="120"/>
            </w:tcMar>
          </w:tcPr>
          <w:p>
            <w:pPr>
              <w:spacing w:before="120" w:after="120" w:line="288" w:lineRule="auto"/>
              <w:ind w:left="0"/>
              <w:jc w:val="center"/>
            </w:pP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交通事故类处置</w:t>
            </w:r>
          </w:p>
        </w:tc>
        <w:tc>
          <w:tcPr>
            <w:tcW w:w="6075" w:type="dxa"/>
            <w:tcMar>
              <w:top w:type="dxa" w:w="60"/>
              <w:left w:type="dxa" w:w="120"/>
              <w:bottom w:type="dxa" w:w="30"/>
              <w:right w:type="dxa" w:w="120"/>
            </w:tcMar>
          </w:tcPr>
          <w:p>
            <w:pPr>
              <w:numPr>
                <w:numId w:val="200"/>
              </w:numPr>
              <w:spacing w:before="120" w:after="120" w:line="288" w:lineRule="auto"/>
              <w:ind w:left="0"/>
              <w:jc w:val="left"/>
            </w:pPr>
            <w:r>
              <w:rPr>
                <w:rFonts w:eastAsia="等线" w:ascii="Arial" w:cs="Arial" w:hAnsi="Arial"/>
                <w:sz w:val="22"/>
              </w:rPr>
              <w:t>停车场交通事故：应保护现场，协助双方协商处理，必要时报警；做好记录。</w:t>
            </w:r>
          </w:p>
          <w:p>
            <w:pPr>
              <w:numPr>
                <w:numId w:val="201"/>
              </w:numPr>
              <w:spacing w:before="120" w:after="120" w:line="288" w:lineRule="auto"/>
              <w:ind w:left="0"/>
              <w:jc w:val="left"/>
            </w:pPr>
            <w:r>
              <w:rPr>
                <w:rFonts w:eastAsia="等线" w:ascii="Arial" w:cs="Arial" w:hAnsi="Arial"/>
                <w:sz w:val="22"/>
              </w:rPr>
              <w:t>道路交通事故：应立即报警，协助疏导交通，保护现场，配合交警处理。</w:t>
            </w:r>
          </w:p>
          <w:p>
            <w:pPr>
              <w:numPr>
                <w:numId w:val="202"/>
              </w:numPr>
              <w:spacing w:before="120" w:after="120" w:line="288" w:lineRule="auto"/>
              <w:ind w:left="0"/>
              <w:jc w:val="left"/>
            </w:pPr>
            <w:r>
              <w:rPr>
                <w:rFonts w:eastAsia="等线" w:ascii="Arial" w:cs="Arial" w:hAnsi="Arial"/>
                <w:sz w:val="22"/>
              </w:rPr>
              <w:t>人员伤亡事故：应立即拨打120急救电话，保护现场，协助救治伤员。</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|（注：部分内容由豆包工作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826090">
    <w:lvl>
      <w:start w:val="1"/>
      <w:numFmt w:val="lowerLetter"/>
      <w:suff w:val="tab"/>
      <w:lvlText w:val="%1."/>
      <w:rPr>
        <w:color w:val="3370ff"/>
      </w:rPr>
    </w:lvl>
  </w:abstractNum>
  <w:abstractNum w:abstractNumId="1826091">
    <w:lvl>
      <w:start w:val="2"/>
      <w:numFmt w:val="lowerLetter"/>
      <w:suff w:val="tab"/>
      <w:lvlText w:val="%1."/>
      <w:rPr>
        <w:color w:val="3370ff"/>
      </w:rPr>
    </w:lvl>
  </w:abstractNum>
  <w:abstractNum w:abstractNumId="1826092">
    <w:lvl>
      <w:start w:val="3"/>
      <w:numFmt w:val="lowerLetter"/>
      <w:suff w:val="tab"/>
      <w:lvlText w:val="%1."/>
      <w:rPr>
        <w:color w:val="3370ff"/>
      </w:rPr>
    </w:lvl>
  </w:abstractNum>
  <w:abstractNum w:abstractNumId="1826093">
    <w:lvl>
      <w:start w:val="4"/>
      <w:numFmt w:val="lowerLetter"/>
      <w:suff w:val="tab"/>
      <w:lvlText w:val="%1."/>
      <w:rPr>
        <w:color w:val="3370ff"/>
      </w:rPr>
    </w:lvl>
  </w:abstractNum>
  <w:abstractNum w:abstractNumId="1826094">
    <w:lvl>
      <w:start w:val="5"/>
      <w:numFmt w:val="lowerLetter"/>
      <w:suff w:val="tab"/>
      <w:lvlText w:val="%1."/>
      <w:rPr>
        <w:color w:val="3370ff"/>
      </w:rPr>
    </w:lvl>
  </w:abstractNum>
  <w:abstractNum w:abstractNumId="1826095">
    <w:lvl>
      <w:start w:val="6"/>
      <w:numFmt w:val="lowerLetter"/>
      <w:suff w:val="tab"/>
      <w:lvlText w:val="%1."/>
      <w:rPr>
        <w:color w:val="3370ff"/>
      </w:rPr>
    </w:lvl>
  </w:abstractNum>
  <w:abstractNum w:abstractNumId="1826096">
    <w:lvl>
      <w:start w:val="7"/>
      <w:numFmt w:val="lowerLetter"/>
      <w:suff w:val="tab"/>
      <w:lvlText w:val="%1."/>
      <w:rPr>
        <w:color w:val="3370ff"/>
      </w:rPr>
    </w:lvl>
  </w:abstractNum>
  <w:abstractNum w:abstractNumId="1826097">
    <w:lvl>
      <w:start w:val="8"/>
      <w:numFmt w:val="lowerLetter"/>
      <w:suff w:val="tab"/>
      <w:lvlText w:val="%1."/>
      <w:rPr>
        <w:color w:val="3370ff"/>
      </w:rPr>
    </w:lvl>
  </w:abstractNum>
  <w:abstractNum w:abstractNumId="1826098">
    <w:lvl>
      <w:start w:val="9"/>
      <w:numFmt w:val="lowerLetter"/>
      <w:suff w:val="tab"/>
      <w:lvlText w:val="%1."/>
      <w:rPr>
        <w:color w:val="3370ff"/>
      </w:rPr>
    </w:lvl>
  </w:abstractNum>
  <w:abstractNum w:abstractNumId="1826099">
    <w:lvl>
      <w:start w:val="10"/>
      <w:numFmt w:val="lowerLetter"/>
      <w:suff w:val="tab"/>
      <w:lvlText w:val="%1."/>
      <w:rPr>
        <w:color w:val="3370ff"/>
      </w:rPr>
    </w:lvl>
  </w:abstractNum>
  <w:abstractNum w:abstractNumId="1826100">
    <w:lvl>
      <w:start w:val="11"/>
      <w:numFmt w:val="lowerLetter"/>
      <w:suff w:val="tab"/>
      <w:lvlText w:val="%1."/>
      <w:rPr>
        <w:color w:val="3370ff"/>
      </w:rPr>
    </w:lvl>
  </w:abstractNum>
  <w:abstractNum w:abstractNumId="1826101">
    <w:lvl>
      <w:start w:val="1"/>
      <w:numFmt w:val="decimal"/>
      <w:suff w:val="tab"/>
      <w:lvlText w:val="%1."/>
      <w:rPr>
        <w:color w:val="3370ff"/>
      </w:rPr>
    </w:lvl>
  </w:abstractNum>
  <w:abstractNum w:abstractNumId="1826102">
    <w:lvl>
      <w:start w:val="1"/>
      <w:numFmt w:val="decimal"/>
      <w:suff w:val="tab"/>
      <w:lvlText w:val="%1."/>
      <w:rPr>
        <w:color w:val="3370ff"/>
      </w:rPr>
    </w:lvl>
  </w:abstractNum>
  <w:abstractNum w:abstractNumId="1826103">
    <w:lvl>
      <w:start w:val="2"/>
      <w:numFmt w:val="decimal"/>
      <w:suff w:val="tab"/>
      <w:lvlText w:val="%1."/>
      <w:rPr>
        <w:color w:val="3370ff"/>
      </w:rPr>
    </w:lvl>
  </w:abstractNum>
  <w:abstractNum w:abstractNumId="1826104">
    <w:lvl>
      <w:start w:val="3"/>
      <w:numFmt w:val="decimal"/>
      <w:suff w:val="tab"/>
      <w:lvlText w:val="%1."/>
      <w:rPr>
        <w:color w:val="3370ff"/>
      </w:rPr>
    </w:lvl>
  </w:abstractNum>
  <w:abstractNum w:abstractNumId="1826105">
    <w:lvl>
      <w:start w:val="4"/>
      <w:numFmt w:val="decimal"/>
      <w:suff w:val="tab"/>
      <w:lvlText w:val="%1."/>
      <w:rPr>
        <w:color w:val="3370ff"/>
      </w:rPr>
    </w:lvl>
  </w:abstractNum>
  <w:abstractNum w:abstractNumId="1826106">
    <w:lvl>
      <w:start w:val="5"/>
      <w:numFmt w:val="decimal"/>
      <w:suff w:val="tab"/>
      <w:lvlText w:val="%1."/>
      <w:rPr>
        <w:color w:val="3370ff"/>
      </w:rPr>
    </w:lvl>
  </w:abstractNum>
  <w:abstractNum w:abstractNumId="1826107">
    <w:lvl>
      <w:start w:val="1"/>
      <w:numFmt w:val="decimal"/>
      <w:suff w:val="tab"/>
      <w:lvlText w:val="%1."/>
      <w:rPr>
        <w:color w:val="3370ff"/>
      </w:rPr>
    </w:lvl>
  </w:abstractNum>
  <w:abstractNum w:abstractNumId="1826108">
    <w:lvl>
      <w:start w:val="2"/>
      <w:numFmt w:val="decimal"/>
      <w:suff w:val="tab"/>
      <w:lvlText w:val="%1."/>
      <w:rPr>
        <w:color w:val="3370ff"/>
      </w:rPr>
    </w:lvl>
  </w:abstractNum>
  <w:abstractNum w:abstractNumId="1826109">
    <w:lvl>
      <w:start w:val="3"/>
      <w:numFmt w:val="decimal"/>
      <w:suff w:val="tab"/>
      <w:lvlText w:val="%1."/>
      <w:rPr>
        <w:color w:val="3370ff"/>
      </w:rPr>
    </w:lvl>
  </w:abstractNum>
  <w:abstractNum w:abstractNumId="1826110">
    <w:lvl>
      <w:start w:val="1"/>
      <w:numFmt w:val="decimal"/>
      <w:suff w:val="tab"/>
      <w:lvlText w:val="%1."/>
      <w:rPr>
        <w:color w:val="3370ff"/>
      </w:rPr>
    </w:lvl>
  </w:abstractNum>
  <w:abstractNum w:abstractNumId="1826111">
    <w:lvl>
      <w:start w:val="1"/>
      <w:numFmt w:val="decimal"/>
      <w:suff w:val="tab"/>
      <w:lvlText w:val="%1."/>
      <w:rPr>
        <w:color w:val="3370ff"/>
      </w:rPr>
    </w:lvl>
  </w:abstractNum>
  <w:abstractNum w:abstractNumId="1826112">
    <w:lvl>
      <w:start w:val="2"/>
      <w:numFmt w:val="decimal"/>
      <w:suff w:val="tab"/>
      <w:lvlText w:val="%1."/>
      <w:rPr>
        <w:color w:val="3370ff"/>
      </w:rPr>
    </w:lvl>
  </w:abstractNum>
  <w:abstractNum w:abstractNumId="1826113">
    <w:lvl>
      <w:start w:val="3"/>
      <w:numFmt w:val="decimal"/>
      <w:suff w:val="tab"/>
      <w:lvlText w:val="%1."/>
      <w:rPr>
        <w:color w:val="3370ff"/>
      </w:rPr>
    </w:lvl>
  </w:abstractNum>
  <w:abstractNum w:abstractNumId="1826114">
    <w:lvl>
      <w:start w:val="4"/>
      <w:numFmt w:val="decimal"/>
      <w:suff w:val="tab"/>
      <w:lvlText w:val="%1."/>
      <w:rPr>
        <w:color w:val="3370ff"/>
      </w:rPr>
    </w:lvl>
  </w:abstractNum>
  <w:abstractNum w:abstractNumId="1826115">
    <w:lvl>
      <w:start w:val="5"/>
      <w:numFmt w:val="decimal"/>
      <w:suff w:val="tab"/>
      <w:lvlText w:val="%1."/>
      <w:rPr>
        <w:color w:val="3370ff"/>
      </w:rPr>
    </w:lvl>
  </w:abstractNum>
  <w:abstractNum w:abstractNumId="1826116">
    <w:lvl>
      <w:start w:val="1"/>
      <w:numFmt w:val="decimal"/>
      <w:suff w:val="tab"/>
      <w:lvlText w:val="%1."/>
      <w:rPr>
        <w:color w:val="3370ff"/>
      </w:rPr>
    </w:lvl>
  </w:abstractNum>
  <w:abstractNum w:abstractNumId="1826117">
    <w:lvl>
      <w:start w:val="2"/>
      <w:numFmt w:val="decimal"/>
      <w:suff w:val="tab"/>
      <w:lvlText w:val="%1."/>
      <w:rPr>
        <w:color w:val="3370ff"/>
      </w:rPr>
    </w:lvl>
  </w:abstractNum>
  <w:abstractNum w:abstractNumId="1826118">
    <w:lvl>
      <w:start w:val="1"/>
      <w:numFmt w:val="decimal"/>
      <w:suff w:val="tab"/>
      <w:lvlText w:val="%1."/>
      <w:rPr>
        <w:color w:val="3370ff"/>
      </w:rPr>
    </w:lvl>
  </w:abstractNum>
  <w:abstractNum w:abstractNumId="1826119">
    <w:lvl>
      <w:start w:val="2"/>
      <w:numFmt w:val="decimal"/>
      <w:suff w:val="tab"/>
      <w:lvlText w:val="%1."/>
      <w:rPr>
        <w:color w:val="3370ff"/>
      </w:rPr>
    </w:lvl>
  </w:abstractNum>
  <w:abstractNum w:abstractNumId="1826120">
    <w:lvl>
      <w:start w:val="1"/>
      <w:numFmt w:val="decimal"/>
      <w:suff w:val="tab"/>
      <w:lvlText w:val="%1."/>
      <w:rPr>
        <w:color w:val="3370ff"/>
      </w:rPr>
    </w:lvl>
  </w:abstractNum>
  <w:abstractNum w:abstractNumId="1826121">
    <w:lvl>
      <w:start w:val="1"/>
      <w:numFmt w:val="decimal"/>
      <w:suff w:val="tab"/>
      <w:lvlText w:val="%1."/>
      <w:rPr>
        <w:color w:val="3370ff"/>
      </w:rPr>
    </w:lvl>
  </w:abstractNum>
  <w:abstractNum w:abstractNumId="1826122">
    <w:lvl>
      <w:start w:val="1"/>
      <w:numFmt w:val="decimal"/>
      <w:suff w:val="tab"/>
      <w:lvlText w:val="%1."/>
      <w:rPr>
        <w:color w:val="3370ff"/>
      </w:rPr>
    </w:lvl>
  </w:abstractNum>
  <w:abstractNum w:abstractNumId="1826123">
    <w:lvl>
      <w:start w:val="2"/>
      <w:numFmt w:val="decimal"/>
      <w:suff w:val="tab"/>
      <w:lvlText w:val="%1."/>
      <w:rPr>
        <w:color w:val="3370ff"/>
      </w:rPr>
    </w:lvl>
  </w:abstractNum>
  <w:abstractNum w:abstractNumId="1826124">
    <w:lvl>
      <w:start w:val="3"/>
      <w:numFmt w:val="decimal"/>
      <w:suff w:val="tab"/>
      <w:lvlText w:val="%1."/>
      <w:rPr>
        <w:color w:val="3370ff"/>
      </w:rPr>
    </w:lvl>
  </w:abstractNum>
  <w:abstractNum w:abstractNumId="1826125">
    <w:lvl>
      <w:start w:val="4"/>
      <w:numFmt w:val="decimal"/>
      <w:suff w:val="tab"/>
      <w:lvlText w:val="%1."/>
      <w:rPr>
        <w:color w:val="3370ff"/>
      </w:rPr>
    </w:lvl>
  </w:abstractNum>
  <w:abstractNum w:abstractNumId="1826126">
    <w:lvl>
      <w:start w:val="5"/>
      <w:numFmt w:val="decimal"/>
      <w:suff w:val="tab"/>
      <w:lvlText w:val="%1."/>
      <w:rPr>
        <w:color w:val="3370ff"/>
      </w:rPr>
    </w:lvl>
  </w:abstractNum>
  <w:abstractNum w:abstractNumId="1826127">
    <w:lvl>
      <w:start w:val="1"/>
      <w:numFmt w:val="decimal"/>
      <w:suff w:val="tab"/>
      <w:lvlText w:val="%1."/>
      <w:rPr>
        <w:color w:val="3370ff"/>
      </w:rPr>
    </w:lvl>
  </w:abstractNum>
  <w:abstractNum w:abstractNumId="1826128">
    <w:lvl>
      <w:start w:val="2"/>
      <w:numFmt w:val="decimal"/>
      <w:suff w:val="tab"/>
      <w:lvlText w:val="%1."/>
      <w:rPr>
        <w:color w:val="3370ff"/>
      </w:rPr>
    </w:lvl>
  </w:abstractNum>
  <w:abstractNum w:abstractNumId="1826129">
    <w:lvl>
      <w:start w:val="3"/>
      <w:numFmt w:val="decimal"/>
      <w:suff w:val="tab"/>
      <w:lvlText w:val="%1."/>
      <w:rPr>
        <w:color w:val="3370ff"/>
      </w:rPr>
    </w:lvl>
  </w:abstractNum>
  <w:abstractNum w:abstractNumId="1826130">
    <w:lvl>
      <w:start w:val="4"/>
      <w:numFmt w:val="decimal"/>
      <w:suff w:val="tab"/>
      <w:lvlText w:val="%1."/>
      <w:rPr>
        <w:color w:val="3370ff"/>
      </w:rPr>
    </w:lvl>
  </w:abstractNum>
  <w:abstractNum w:abstractNumId="1826131">
    <w:lvl>
      <w:start w:val="1"/>
      <w:numFmt w:val="decimal"/>
      <w:suff w:val="tab"/>
      <w:lvlText w:val="%1."/>
      <w:rPr>
        <w:color w:val="3370ff"/>
      </w:rPr>
    </w:lvl>
  </w:abstractNum>
  <w:abstractNum w:abstractNumId="1826132">
    <w:lvl>
      <w:start w:val="2"/>
      <w:numFmt w:val="decimal"/>
      <w:suff w:val="tab"/>
      <w:lvlText w:val="%1."/>
      <w:rPr>
        <w:color w:val="3370ff"/>
      </w:rPr>
    </w:lvl>
  </w:abstractNum>
  <w:abstractNum w:abstractNumId="1826133">
    <w:lvl>
      <w:start w:val="3"/>
      <w:numFmt w:val="decimal"/>
      <w:suff w:val="tab"/>
      <w:lvlText w:val="%1."/>
      <w:rPr>
        <w:color w:val="3370ff"/>
      </w:rPr>
    </w:lvl>
  </w:abstractNum>
  <w:abstractNum w:abstractNumId="1826134">
    <w:lvl>
      <w:start w:val="4"/>
      <w:numFmt w:val="decimal"/>
      <w:suff w:val="tab"/>
      <w:lvlText w:val="%1."/>
      <w:rPr>
        <w:color w:val="3370ff"/>
      </w:rPr>
    </w:lvl>
  </w:abstractNum>
  <w:abstractNum w:abstractNumId="1826135">
    <w:lvl>
      <w:start w:val="5"/>
      <w:numFmt w:val="decimal"/>
      <w:suff w:val="tab"/>
      <w:lvlText w:val="%1."/>
      <w:rPr>
        <w:color w:val="3370ff"/>
      </w:rPr>
    </w:lvl>
  </w:abstractNum>
  <w:abstractNum w:abstractNumId="1826136">
    <w:lvl>
      <w:start w:val="6"/>
      <w:numFmt w:val="decimal"/>
      <w:suff w:val="tab"/>
      <w:lvlText w:val="%1."/>
      <w:rPr>
        <w:color w:val="3370ff"/>
      </w:rPr>
    </w:lvl>
  </w:abstractNum>
  <w:abstractNum w:abstractNumId="1826137">
    <w:lvl>
      <w:start w:val="7"/>
      <w:numFmt w:val="decimal"/>
      <w:suff w:val="tab"/>
      <w:lvlText w:val="%1."/>
      <w:rPr>
        <w:color w:val="3370ff"/>
      </w:rPr>
    </w:lvl>
  </w:abstractNum>
  <w:abstractNum w:abstractNumId="1826138">
    <w:lvl>
      <w:start w:val="1"/>
      <w:numFmt w:val="decimal"/>
      <w:suff w:val="tab"/>
      <w:lvlText w:val="%1."/>
      <w:rPr>
        <w:color w:val="3370ff"/>
      </w:rPr>
    </w:lvl>
  </w:abstractNum>
  <w:abstractNum w:abstractNumId="1826139">
    <w:lvl>
      <w:start w:val="2"/>
      <w:numFmt w:val="decimal"/>
      <w:suff w:val="tab"/>
      <w:lvlText w:val="%1."/>
      <w:rPr>
        <w:color w:val="3370ff"/>
      </w:rPr>
    </w:lvl>
  </w:abstractNum>
  <w:abstractNum w:abstractNumId="1826140">
    <w:lvl>
      <w:start w:val="1"/>
      <w:numFmt w:val="decimal"/>
      <w:suff w:val="tab"/>
      <w:lvlText w:val="%1."/>
      <w:rPr>
        <w:color w:val="3370ff"/>
      </w:rPr>
    </w:lvl>
  </w:abstractNum>
  <w:abstractNum w:abstractNumId="1826141">
    <w:lvl>
      <w:start w:val="2"/>
      <w:numFmt w:val="decimal"/>
      <w:suff w:val="tab"/>
      <w:lvlText w:val="%1."/>
      <w:rPr>
        <w:color w:val="3370ff"/>
      </w:rPr>
    </w:lvl>
  </w:abstractNum>
  <w:abstractNum w:abstractNumId="1826142">
    <w:lvl>
      <w:start w:val="3"/>
      <w:numFmt w:val="decimal"/>
      <w:suff w:val="tab"/>
      <w:lvlText w:val="%1."/>
      <w:rPr>
        <w:color w:val="3370ff"/>
      </w:rPr>
    </w:lvl>
  </w:abstractNum>
  <w:abstractNum w:abstractNumId="1826143">
    <w:lvl>
      <w:start w:val="1"/>
      <w:numFmt w:val="decimal"/>
      <w:suff w:val="tab"/>
      <w:lvlText w:val="%1."/>
      <w:rPr>
        <w:color w:val="3370ff"/>
      </w:rPr>
    </w:lvl>
  </w:abstractNum>
  <w:abstractNum w:abstractNumId="1826144">
    <w:lvl>
      <w:start w:val="1"/>
      <w:numFmt w:val="decimal"/>
      <w:suff w:val="tab"/>
      <w:lvlText w:val="%1."/>
      <w:rPr>
        <w:color w:val="3370ff"/>
      </w:rPr>
    </w:lvl>
  </w:abstractNum>
  <w:abstractNum w:abstractNumId="1826145">
    <w:lvl>
      <w:start w:val="2"/>
      <w:numFmt w:val="decimal"/>
      <w:suff w:val="tab"/>
      <w:lvlText w:val="%1."/>
      <w:rPr>
        <w:color w:val="3370ff"/>
      </w:rPr>
    </w:lvl>
  </w:abstractNum>
  <w:abstractNum w:abstractNumId="1826146">
    <w:lvl>
      <w:start w:val="3"/>
      <w:numFmt w:val="decimal"/>
      <w:suff w:val="tab"/>
      <w:lvlText w:val="%1."/>
      <w:rPr>
        <w:color w:val="3370ff"/>
      </w:rPr>
    </w:lvl>
  </w:abstractNum>
  <w:abstractNum w:abstractNumId="1826147">
    <w:lvl>
      <w:start w:val="4"/>
      <w:numFmt w:val="decimal"/>
      <w:suff w:val="tab"/>
      <w:lvlText w:val="%1."/>
      <w:rPr>
        <w:color w:val="3370ff"/>
      </w:rPr>
    </w:lvl>
  </w:abstractNum>
  <w:abstractNum w:abstractNumId="1826148">
    <w:lvl>
      <w:start w:val="5"/>
      <w:numFmt w:val="decimal"/>
      <w:suff w:val="tab"/>
      <w:lvlText w:val="%1."/>
      <w:rPr>
        <w:color w:val="3370ff"/>
      </w:rPr>
    </w:lvl>
  </w:abstractNum>
  <w:abstractNum w:abstractNumId="1826149">
    <w:lvl>
      <w:start w:val="6"/>
      <w:numFmt w:val="decimal"/>
      <w:suff w:val="tab"/>
      <w:lvlText w:val="%1."/>
      <w:rPr>
        <w:color w:val="3370ff"/>
      </w:rPr>
    </w:lvl>
  </w:abstractNum>
  <w:abstractNum w:abstractNumId="1826150">
    <w:lvl>
      <w:start w:val="7"/>
      <w:numFmt w:val="decimal"/>
      <w:suff w:val="tab"/>
      <w:lvlText w:val="%1."/>
      <w:rPr>
        <w:color w:val="3370ff"/>
      </w:rPr>
    </w:lvl>
  </w:abstractNum>
  <w:abstractNum w:abstractNumId="1826151">
    <w:lvl>
      <w:start w:val="8"/>
      <w:numFmt w:val="decimal"/>
      <w:suff w:val="tab"/>
      <w:lvlText w:val="%1."/>
      <w:rPr>
        <w:color w:val="3370ff"/>
      </w:rPr>
    </w:lvl>
  </w:abstractNum>
  <w:abstractNum w:abstractNumId="1826152">
    <w:lvl>
      <w:start w:val="1"/>
      <w:numFmt w:val="decimal"/>
      <w:suff w:val="tab"/>
      <w:lvlText w:val="%1."/>
      <w:rPr>
        <w:color w:val="3370ff"/>
      </w:rPr>
    </w:lvl>
  </w:abstractNum>
  <w:abstractNum w:abstractNumId="1826153">
    <w:lvl>
      <w:start w:val="2"/>
      <w:numFmt w:val="decimal"/>
      <w:suff w:val="tab"/>
      <w:lvlText w:val="%1."/>
      <w:rPr>
        <w:color w:val="3370ff"/>
      </w:rPr>
    </w:lvl>
  </w:abstractNum>
  <w:abstractNum w:abstractNumId="1826154">
    <w:lvl>
      <w:start w:val="3"/>
      <w:numFmt w:val="decimal"/>
      <w:suff w:val="tab"/>
      <w:lvlText w:val="%1."/>
      <w:rPr>
        <w:color w:val="3370ff"/>
      </w:rPr>
    </w:lvl>
  </w:abstractNum>
  <w:abstractNum w:abstractNumId="1826155">
    <w:lvl>
      <w:start w:val="1"/>
      <w:numFmt w:val="decimal"/>
      <w:suff w:val="tab"/>
      <w:lvlText w:val="%1."/>
      <w:rPr>
        <w:color w:val="3370ff"/>
      </w:rPr>
    </w:lvl>
  </w:abstractNum>
  <w:abstractNum w:abstractNumId="1826156">
    <w:lvl>
      <w:start w:val="1"/>
      <w:numFmt w:val="decimal"/>
      <w:suff w:val="tab"/>
      <w:lvlText w:val="%1."/>
      <w:rPr>
        <w:color w:val="3370ff"/>
      </w:rPr>
    </w:lvl>
  </w:abstractNum>
  <w:abstractNum w:abstractNumId="1826157">
    <w:lvl>
      <w:start w:val="1"/>
      <w:numFmt w:val="lowerLetter"/>
      <w:suff w:val="tab"/>
      <w:lvlText w:val="%1."/>
      <w:rPr>
        <w:color w:val="3370ff"/>
      </w:rPr>
    </w:lvl>
  </w:abstractNum>
  <w:abstractNum w:abstractNumId="1826158">
    <w:lvl>
      <w:start w:val="2"/>
      <w:numFmt w:val="lowerLetter"/>
      <w:suff w:val="tab"/>
      <w:lvlText w:val="%1."/>
      <w:rPr>
        <w:color w:val="3370ff"/>
      </w:rPr>
    </w:lvl>
  </w:abstractNum>
  <w:abstractNum w:abstractNumId="1826159">
    <w:lvl>
      <w:start w:val="3"/>
      <w:numFmt w:val="lowerLetter"/>
      <w:suff w:val="tab"/>
      <w:lvlText w:val="%1."/>
      <w:rPr>
        <w:color w:val="3370ff"/>
      </w:rPr>
    </w:lvl>
  </w:abstractNum>
  <w:abstractNum w:abstractNumId="1826160">
    <w:lvl>
      <w:start w:val="4"/>
      <w:numFmt w:val="lowerLetter"/>
      <w:suff w:val="tab"/>
      <w:lvlText w:val="%1."/>
      <w:rPr>
        <w:color w:val="3370ff"/>
      </w:rPr>
    </w:lvl>
  </w:abstractNum>
  <w:abstractNum w:abstractNumId="1826161">
    <w:lvl>
      <w:start w:val="2"/>
      <w:numFmt w:val="decimal"/>
      <w:suff w:val="tab"/>
      <w:lvlText w:val="%1."/>
      <w:rPr>
        <w:color w:val="3370ff"/>
      </w:rPr>
    </w:lvl>
  </w:abstractNum>
  <w:abstractNum w:abstractNumId="1826162">
    <w:lvl>
      <w:start w:val="3"/>
      <w:numFmt w:val="decimal"/>
      <w:suff w:val="tab"/>
      <w:lvlText w:val="%1."/>
      <w:rPr>
        <w:color w:val="3370ff"/>
      </w:rPr>
    </w:lvl>
  </w:abstractNum>
  <w:abstractNum w:abstractNumId="1826163">
    <w:lvl>
      <w:start w:val="4"/>
      <w:numFmt w:val="decimal"/>
      <w:suff w:val="tab"/>
      <w:lvlText w:val="%1."/>
      <w:rPr>
        <w:color w:val="3370ff"/>
      </w:rPr>
    </w:lvl>
  </w:abstractNum>
  <w:abstractNum w:abstractNumId="1826164">
    <w:lvl>
      <w:start w:val="1"/>
      <w:numFmt w:val="decimal"/>
      <w:suff w:val="tab"/>
      <w:lvlText w:val="%1."/>
      <w:rPr>
        <w:color w:val="3370ff"/>
      </w:rPr>
    </w:lvl>
  </w:abstractNum>
  <w:abstractNum w:abstractNumId="1826165">
    <w:lvl>
      <w:start w:val="2"/>
      <w:numFmt w:val="decimal"/>
      <w:suff w:val="tab"/>
      <w:lvlText w:val="%1."/>
      <w:rPr>
        <w:color w:val="3370ff"/>
      </w:rPr>
    </w:lvl>
  </w:abstractNum>
  <w:abstractNum w:abstractNumId="1826166">
    <w:lvl>
      <w:start w:val="3"/>
      <w:numFmt w:val="decimal"/>
      <w:suff w:val="tab"/>
      <w:lvlText w:val="%1."/>
      <w:rPr>
        <w:color w:val="3370ff"/>
      </w:rPr>
    </w:lvl>
  </w:abstractNum>
  <w:abstractNum w:abstractNumId="1826167">
    <w:lvl>
      <w:start w:val="1"/>
      <w:numFmt w:val="decimal"/>
      <w:suff w:val="tab"/>
      <w:lvlText w:val="%1."/>
      <w:rPr>
        <w:color w:val="3370ff"/>
      </w:rPr>
    </w:lvl>
  </w:abstractNum>
  <w:abstractNum w:abstractNumId="1826168">
    <w:lvl>
      <w:start w:val="2"/>
      <w:numFmt w:val="decimal"/>
      <w:suff w:val="tab"/>
      <w:lvlText w:val="%1."/>
      <w:rPr>
        <w:color w:val="3370ff"/>
      </w:rPr>
    </w:lvl>
  </w:abstractNum>
  <w:abstractNum w:abstractNumId="1826169">
    <w:lvl>
      <w:start w:val="3"/>
      <w:numFmt w:val="decimal"/>
      <w:suff w:val="tab"/>
      <w:lvlText w:val="%1."/>
      <w:rPr>
        <w:color w:val="3370ff"/>
      </w:rPr>
    </w:lvl>
  </w:abstractNum>
  <w:abstractNum w:abstractNumId="1826170">
    <w:lvl>
      <w:start w:val="4"/>
      <w:numFmt w:val="decimal"/>
      <w:suff w:val="tab"/>
      <w:lvlText w:val="%1."/>
      <w:rPr>
        <w:color w:val="3370ff"/>
      </w:rPr>
    </w:lvl>
  </w:abstractNum>
  <w:abstractNum w:abstractNumId="1826171">
    <w:lvl>
      <w:start w:val="5"/>
      <w:numFmt w:val="decimal"/>
      <w:suff w:val="tab"/>
      <w:lvlText w:val="%1."/>
      <w:rPr>
        <w:color w:val="3370ff"/>
      </w:rPr>
    </w:lvl>
  </w:abstractNum>
  <w:abstractNum w:abstractNumId="1826172">
    <w:lvl>
      <w:start w:val="6"/>
      <w:numFmt w:val="decimal"/>
      <w:suff w:val="tab"/>
      <w:lvlText w:val="%1."/>
      <w:rPr>
        <w:color w:val="3370ff"/>
      </w:rPr>
    </w:lvl>
  </w:abstractNum>
  <w:abstractNum w:abstractNumId="1826173">
    <w:lvl>
      <w:start w:val="1"/>
      <w:numFmt w:val="decimal"/>
      <w:suff w:val="tab"/>
      <w:lvlText w:val="%1."/>
      <w:rPr>
        <w:color w:val="3370ff"/>
      </w:rPr>
    </w:lvl>
  </w:abstractNum>
  <w:abstractNum w:abstractNumId="1826174">
    <w:lvl>
      <w:start w:val="2"/>
      <w:numFmt w:val="decimal"/>
      <w:suff w:val="tab"/>
      <w:lvlText w:val="%1."/>
      <w:rPr>
        <w:color w:val="3370ff"/>
      </w:rPr>
    </w:lvl>
  </w:abstractNum>
  <w:abstractNum w:abstractNumId="1826175">
    <w:lvl>
      <w:start w:val="3"/>
      <w:numFmt w:val="decimal"/>
      <w:suff w:val="tab"/>
      <w:lvlText w:val="%1."/>
      <w:rPr>
        <w:color w:val="3370ff"/>
      </w:rPr>
    </w:lvl>
  </w:abstractNum>
  <w:abstractNum w:abstractNumId="1826176">
    <w:lvl>
      <w:start w:val="4"/>
      <w:numFmt w:val="decimal"/>
      <w:suff w:val="tab"/>
      <w:lvlText w:val="%1."/>
      <w:rPr>
        <w:color w:val="3370ff"/>
      </w:rPr>
    </w:lvl>
  </w:abstractNum>
  <w:abstractNum w:abstractNumId="1826177">
    <w:lvl>
      <w:start w:val="5"/>
      <w:numFmt w:val="decimal"/>
      <w:suff w:val="tab"/>
      <w:lvlText w:val="%1."/>
      <w:rPr>
        <w:color w:val="3370ff"/>
      </w:rPr>
    </w:lvl>
  </w:abstractNum>
  <w:abstractNum w:abstractNumId="1826178">
    <w:lvl>
      <w:start w:val="1"/>
      <w:numFmt w:val="decimal"/>
      <w:suff w:val="tab"/>
      <w:lvlText w:val="%1."/>
      <w:rPr>
        <w:color w:val="3370ff"/>
      </w:rPr>
    </w:lvl>
  </w:abstractNum>
  <w:abstractNum w:abstractNumId="1826179">
    <w:lvl>
      <w:start w:val="1"/>
      <w:numFmt w:val="lowerLetter"/>
      <w:suff w:val="tab"/>
      <w:lvlText w:val="%1."/>
      <w:rPr>
        <w:color w:val="3370ff"/>
      </w:rPr>
    </w:lvl>
  </w:abstractNum>
  <w:abstractNum w:abstractNumId="1826180">
    <w:lvl>
      <w:start w:val="2"/>
      <w:numFmt w:val="lowerLetter"/>
      <w:suff w:val="tab"/>
      <w:lvlText w:val="%1."/>
      <w:rPr>
        <w:color w:val="3370ff"/>
      </w:rPr>
    </w:lvl>
  </w:abstractNum>
  <w:abstractNum w:abstractNumId="1826181">
    <w:lvl>
      <w:start w:val="2"/>
      <w:numFmt w:val="decimal"/>
      <w:suff w:val="tab"/>
      <w:lvlText w:val="%1."/>
      <w:rPr>
        <w:color w:val="3370ff"/>
      </w:rPr>
    </w:lvl>
  </w:abstractNum>
  <w:abstractNum w:abstractNumId="1826182">
    <w:lvl>
      <w:start w:val="1"/>
      <w:numFmt w:val="lowerLetter"/>
      <w:suff w:val="tab"/>
      <w:lvlText w:val="%1."/>
      <w:rPr>
        <w:color w:val="3370ff"/>
      </w:rPr>
    </w:lvl>
  </w:abstractNum>
  <w:abstractNum w:abstractNumId="1826183">
    <w:lvl>
      <w:start w:val="2"/>
      <w:numFmt w:val="lowerLetter"/>
      <w:suff w:val="tab"/>
      <w:lvlText w:val="%1."/>
      <w:rPr>
        <w:color w:val="3370ff"/>
      </w:rPr>
    </w:lvl>
  </w:abstractNum>
  <w:abstractNum w:abstractNumId="1826184">
    <w:lvl>
      <w:start w:val="3"/>
      <w:numFmt w:val="lowerLetter"/>
      <w:suff w:val="tab"/>
      <w:lvlText w:val="%1."/>
      <w:rPr>
        <w:color w:val="3370ff"/>
      </w:rPr>
    </w:lvl>
  </w:abstractNum>
  <w:abstractNum w:abstractNumId="1826185">
    <w:lvl>
      <w:start w:val="3"/>
      <w:numFmt w:val="decimal"/>
      <w:suff w:val="tab"/>
      <w:lvlText w:val="%1."/>
      <w:rPr>
        <w:color w:val="3370ff"/>
      </w:rPr>
    </w:lvl>
  </w:abstractNum>
  <w:abstractNum w:abstractNumId="1826186">
    <w:lvl>
      <w:start w:val="1"/>
      <w:numFmt w:val="lowerLetter"/>
      <w:suff w:val="tab"/>
      <w:lvlText w:val="%1."/>
      <w:rPr>
        <w:color w:val="3370ff"/>
      </w:rPr>
    </w:lvl>
  </w:abstractNum>
  <w:abstractNum w:abstractNumId="1826187">
    <w:lvl>
      <w:start w:val="2"/>
      <w:numFmt w:val="lowerLetter"/>
      <w:suff w:val="tab"/>
      <w:lvlText w:val="%1."/>
      <w:rPr>
        <w:color w:val="3370ff"/>
      </w:rPr>
    </w:lvl>
  </w:abstractNum>
  <w:abstractNum w:abstractNumId="1826188">
    <w:lvl>
      <w:start w:val="1"/>
      <w:numFmt w:val="decimal"/>
      <w:suff w:val="tab"/>
      <w:lvlText w:val="%1."/>
      <w:rPr>
        <w:color w:val="3370ff"/>
      </w:rPr>
    </w:lvl>
  </w:abstractNum>
  <w:abstractNum w:abstractNumId="1826189">
    <w:lvl>
      <w:start w:val="2"/>
      <w:numFmt w:val="decimal"/>
      <w:suff w:val="tab"/>
      <w:lvlText w:val="%1."/>
      <w:rPr>
        <w:color w:val="3370ff"/>
      </w:rPr>
    </w:lvl>
  </w:abstractNum>
  <w:abstractNum w:abstractNumId="1826190">
    <w:lvl>
      <w:start w:val="1"/>
      <w:numFmt w:val="decimal"/>
      <w:suff w:val="tab"/>
      <w:lvlText w:val="%1."/>
      <w:rPr>
        <w:color w:val="3370ff"/>
      </w:rPr>
    </w:lvl>
  </w:abstractNum>
  <w:abstractNum w:abstractNumId="1826191">
    <w:lvl>
      <w:start w:val="2"/>
      <w:numFmt w:val="decimal"/>
      <w:suff w:val="tab"/>
      <w:lvlText w:val="%1."/>
      <w:rPr>
        <w:color w:val="3370ff"/>
      </w:rPr>
    </w:lvl>
  </w:abstractNum>
  <w:abstractNum w:abstractNumId="1826192">
    <w:lvl>
      <w:start w:val="3"/>
      <w:numFmt w:val="decimal"/>
      <w:suff w:val="tab"/>
      <w:lvlText w:val="%1."/>
      <w:rPr>
        <w:color w:val="3370ff"/>
      </w:rPr>
    </w:lvl>
  </w:abstractNum>
  <w:abstractNum w:abstractNumId="1826193">
    <w:lvl>
      <w:start w:val="1"/>
      <w:numFmt w:val="decimal"/>
      <w:suff w:val="tab"/>
      <w:lvlText w:val="%1."/>
      <w:rPr>
        <w:color w:val="3370ff"/>
      </w:rPr>
    </w:lvl>
  </w:abstractNum>
  <w:abstractNum w:abstractNumId="1826194">
    <w:lvl>
      <w:start w:val="2"/>
      <w:numFmt w:val="decimal"/>
      <w:suff w:val="tab"/>
      <w:lvlText w:val="%1."/>
      <w:rPr>
        <w:color w:val="3370ff"/>
      </w:rPr>
    </w:lvl>
  </w:abstractNum>
  <w:abstractNum w:abstractNumId="1826195">
    <w:lvl>
      <w:start w:val="3"/>
      <w:numFmt w:val="decimal"/>
      <w:suff w:val="tab"/>
      <w:lvlText w:val="%1."/>
      <w:rPr>
        <w:color w:val="3370ff"/>
      </w:rPr>
    </w:lvl>
  </w:abstractNum>
  <w:abstractNum w:abstractNumId="1826196">
    <w:lvl>
      <w:start w:val="4"/>
      <w:numFmt w:val="decimal"/>
      <w:suff w:val="tab"/>
      <w:lvlText w:val="%1."/>
      <w:rPr>
        <w:color w:val="3370ff"/>
      </w:rPr>
    </w:lvl>
  </w:abstractNum>
  <w:abstractNum w:abstractNumId="1826197">
    <w:lvl>
      <w:start w:val="1"/>
      <w:numFmt w:val="decimal"/>
      <w:suff w:val="tab"/>
      <w:lvlText w:val="%1."/>
      <w:rPr>
        <w:color w:val="3370ff"/>
      </w:rPr>
    </w:lvl>
  </w:abstractNum>
  <w:abstractNum w:abstractNumId="1826198">
    <w:lvl>
      <w:start w:val="2"/>
      <w:numFmt w:val="decimal"/>
      <w:suff w:val="tab"/>
      <w:lvlText w:val="%1."/>
      <w:rPr>
        <w:color w:val="3370ff"/>
      </w:rPr>
    </w:lvl>
  </w:abstractNum>
  <w:abstractNum w:abstractNumId="1826199">
    <w:lvl>
      <w:start w:val="3"/>
      <w:numFmt w:val="decimal"/>
      <w:suff w:val="tab"/>
      <w:lvlText w:val="%1."/>
      <w:rPr>
        <w:color w:val="3370ff"/>
      </w:rPr>
    </w:lvl>
  </w:abstractNum>
  <w:abstractNum w:abstractNumId="1826200">
    <w:lvl>
      <w:start w:val="4"/>
      <w:numFmt w:val="decimal"/>
      <w:suff w:val="tab"/>
      <w:lvlText w:val="%1."/>
      <w:rPr>
        <w:color w:val="3370ff"/>
      </w:rPr>
    </w:lvl>
  </w:abstractNum>
  <w:abstractNum w:abstractNumId="1826201">
    <w:lvl>
      <w:start w:val="1"/>
      <w:numFmt w:val="decimal"/>
      <w:suff w:val="tab"/>
      <w:lvlText w:val="%1."/>
      <w:rPr>
        <w:color w:val="3370ff"/>
      </w:rPr>
    </w:lvl>
  </w:abstractNum>
  <w:abstractNum w:abstractNumId="1826202">
    <w:lvl>
      <w:start w:val="1"/>
      <w:numFmt w:val="lowerLetter"/>
      <w:suff w:val="tab"/>
      <w:lvlText w:val="%1."/>
      <w:rPr>
        <w:color w:val="3370ff"/>
      </w:rPr>
    </w:lvl>
  </w:abstractNum>
  <w:abstractNum w:abstractNumId="1826203">
    <w:lvl>
      <w:start w:val="2"/>
      <w:numFmt w:val="lowerLetter"/>
      <w:suff w:val="tab"/>
      <w:lvlText w:val="%1."/>
      <w:rPr>
        <w:color w:val="3370ff"/>
      </w:rPr>
    </w:lvl>
  </w:abstractNum>
  <w:abstractNum w:abstractNumId="1826204">
    <w:lvl>
      <w:start w:val="1"/>
      <w:numFmt w:val="lowerRoman"/>
      <w:suff w:val="tab"/>
      <w:lvlText w:val="%1."/>
      <w:rPr>
        <w:color w:val="3370ff"/>
      </w:rPr>
    </w:lvl>
  </w:abstractNum>
  <w:abstractNum w:abstractNumId="1826205">
    <w:lvl>
      <w:start w:val="2"/>
      <w:numFmt w:val="lowerRoman"/>
      <w:suff w:val="tab"/>
      <w:lvlText w:val="%1."/>
      <w:rPr>
        <w:color w:val="3370ff"/>
      </w:rPr>
    </w:lvl>
  </w:abstractNum>
  <w:abstractNum w:abstractNumId="1826206">
    <w:lvl>
      <w:start w:val="3"/>
      <w:numFmt w:val="lowerLetter"/>
      <w:suff w:val="tab"/>
      <w:lvlText w:val="%1."/>
      <w:rPr>
        <w:color w:val="3370ff"/>
      </w:rPr>
    </w:lvl>
  </w:abstractNum>
  <w:abstractNum w:abstractNumId="1826207">
    <w:lvl>
      <w:start w:val="4"/>
      <w:numFmt w:val="lowerLetter"/>
      <w:suff w:val="tab"/>
      <w:lvlText w:val="%1."/>
      <w:rPr>
        <w:color w:val="3370ff"/>
      </w:rPr>
    </w:lvl>
  </w:abstractNum>
  <w:abstractNum w:abstractNumId="1826208">
    <w:lvl>
      <w:start w:val="1"/>
      <w:numFmt w:val="decimal"/>
      <w:suff w:val="tab"/>
      <w:lvlText w:val="%1."/>
      <w:rPr>
        <w:color w:val="3370ff"/>
      </w:rPr>
    </w:lvl>
  </w:abstractNum>
  <w:abstractNum w:abstractNumId="1826209">
    <w:lvl>
      <w:start w:val="1"/>
      <w:numFmt w:val="lowerLetter"/>
      <w:suff w:val="tab"/>
      <w:lvlText w:val="%1."/>
      <w:rPr>
        <w:color w:val="3370ff"/>
      </w:rPr>
    </w:lvl>
  </w:abstractNum>
  <w:abstractNum w:abstractNumId="1826210">
    <w:lvl>
      <w:start w:val="2"/>
      <w:numFmt w:val="lowerLetter"/>
      <w:suff w:val="tab"/>
      <w:lvlText w:val="%1."/>
      <w:rPr>
        <w:color w:val="3370ff"/>
      </w:rPr>
    </w:lvl>
  </w:abstractNum>
  <w:abstractNum w:abstractNumId="1826211">
    <w:lvl>
      <w:start w:val="3"/>
      <w:numFmt w:val="lowerLetter"/>
      <w:suff w:val="tab"/>
      <w:lvlText w:val="%1."/>
      <w:rPr>
        <w:color w:val="3370ff"/>
      </w:rPr>
    </w:lvl>
  </w:abstractNum>
  <w:abstractNum w:abstractNumId="1826212">
    <w:lvl>
      <w:start w:val="4"/>
      <w:numFmt w:val="lowerLetter"/>
      <w:suff w:val="tab"/>
      <w:lvlText w:val="%1."/>
      <w:rPr>
        <w:color w:val="3370ff"/>
      </w:rPr>
    </w:lvl>
  </w:abstractNum>
  <w:abstractNum w:abstractNumId="1826213">
    <w:lvl>
      <w:start w:val="5"/>
      <w:numFmt w:val="lowerLetter"/>
      <w:suff w:val="tab"/>
      <w:lvlText w:val="%1."/>
      <w:rPr>
        <w:color w:val="3370ff"/>
      </w:rPr>
    </w:lvl>
  </w:abstractNum>
  <w:abstractNum w:abstractNumId="1826214">
    <w:lvl>
      <w:start w:val="1"/>
      <w:numFmt w:val="decimal"/>
      <w:suff w:val="tab"/>
      <w:lvlText w:val="%1."/>
      <w:rPr>
        <w:color w:val="3370ff"/>
      </w:rPr>
    </w:lvl>
  </w:abstractNum>
  <w:abstractNum w:abstractNumId="1826215">
    <w:lvl>
      <w:start w:val="2"/>
      <w:numFmt w:val="decimal"/>
      <w:suff w:val="tab"/>
      <w:lvlText w:val="%1."/>
      <w:rPr>
        <w:color w:val="3370ff"/>
      </w:rPr>
    </w:lvl>
  </w:abstractNum>
  <w:abstractNum w:abstractNumId="1826216">
    <w:lvl>
      <w:start w:val="3"/>
      <w:numFmt w:val="decimal"/>
      <w:suff w:val="tab"/>
      <w:lvlText w:val="%1."/>
      <w:rPr>
        <w:color w:val="3370ff"/>
      </w:rPr>
    </w:lvl>
  </w:abstractNum>
  <w:abstractNum w:abstractNumId="1826217">
    <w:lvl>
      <w:start w:val="1"/>
      <w:numFmt w:val="decimal"/>
      <w:suff w:val="tab"/>
      <w:lvlText w:val="%1."/>
      <w:rPr>
        <w:color w:val="3370ff"/>
      </w:rPr>
    </w:lvl>
  </w:abstractNum>
  <w:abstractNum w:abstractNumId="1826218">
    <w:lvl>
      <w:start w:val="2"/>
      <w:numFmt w:val="decimal"/>
      <w:suff w:val="tab"/>
      <w:lvlText w:val="%1."/>
      <w:rPr>
        <w:color w:val="3370ff"/>
      </w:rPr>
    </w:lvl>
  </w:abstractNum>
  <w:abstractNum w:abstractNumId="1826219">
    <w:lvl>
      <w:start w:val="3"/>
      <w:numFmt w:val="decimal"/>
      <w:suff w:val="tab"/>
      <w:lvlText w:val="%1."/>
      <w:rPr>
        <w:color w:val="3370ff"/>
      </w:rPr>
    </w:lvl>
  </w:abstractNum>
  <w:abstractNum w:abstractNumId="1826220">
    <w:lvl>
      <w:start w:val="1"/>
      <w:numFmt w:val="decimal"/>
      <w:suff w:val="tab"/>
      <w:lvlText w:val="%1."/>
      <w:rPr>
        <w:color w:val="3370ff"/>
      </w:rPr>
    </w:lvl>
  </w:abstractNum>
  <w:abstractNum w:abstractNumId="1826221">
    <w:lvl>
      <w:start w:val="2"/>
      <w:numFmt w:val="decimal"/>
      <w:suff w:val="tab"/>
      <w:lvlText w:val="%1."/>
      <w:rPr>
        <w:color w:val="3370ff"/>
      </w:rPr>
    </w:lvl>
  </w:abstractNum>
  <w:abstractNum w:abstractNumId="1826222">
    <w:lvl>
      <w:start w:val="3"/>
      <w:numFmt w:val="decimal"/>
      <w:suff w:val="tab"/>
      <w:lvlText w:val="%1."/>
      <w:rPr>
        <w:color w:val="3370ff"/>
      </w:rPr>
    </w:lvl>
  </w:abstractNum>
  <w:abstractNum w:abstractNumId="1826223">
    <w:lvl>
      <w:start w:val="1"/>
      <w:numFmt w:val="decimal"/>
      <w:suff w:val="tab"/>
      <w:lvlText w:val="%1."/>
      <w:rPr>
        <w:color w:val="3370ff"/>
      </w:rPr>
    </w:lvl>
  </w:abstractNum>
  <w:abstractNum w:abstractNumId="1826224">
    <w:lvl>
      <w:start w:val="2"/>
      <w:numFmt w:val="decimal"/>
      <w:suff w:val="tab"/>
      <w:lvlText w:val="%1."/>
      <w:rPr>
        <w:color w:val="3370ff"/>
      </w:rPr>
    </w:lvl>
  </w:abstractNum>
  <w:abstractNum w:abstractNumId="1826225">
    <w:lvl>
      <w:start w:val="3"/>
      <w:numFmt w:val="decimal"/>
      <w:suff w:val="tab"/>
      <w:lvlText w:val="%1."/>
      <w:rPr>
        <w:color w:val="3370ff"/>
      </w:rPr>
    </w:lvl>
  </w:abstractNum>
  <w:abstractNum w:abstractNumId="1826226">
    <w:lvl>
      <w:start w:val="4"/>
      <w:numFmt w:val="decimal"/>
      <w:suff w:val="tab"/>
      <w:lvlText w:val="%1."/>
      <w:rPr>
        <w:color w:val="3370ff"/>
      </w:rPr>
    </w:lvl>
  </w:abstractNum>
  <w:abstractNum w:abstractNumId="1826227">
    <w:lvl>
      <w:start w:val="5"/>
      <w:numFmt w:val="decimal"/>
      <w:suff w:val="tab"/>
      <w:lvlText w:val="%1."/>
      <w:rPr>
        <w:color w:val="3370ff"/>
      </w:rPr>
    </w:lvl>
  </w:abstractNum>
  <w:abstractNum w:abstractNumId="1826228">
    <w:lvl>
      <w:start w:val="6"/>
      <w:numFmt w:val="decimal"/>
      <w:suff w:val="tab"/>
      <w:lvlText w:val="%1."/>
      <w:rPr>
        <w:color w:val="3370ff"/>
      </w:rPr>
    </w:lvl>
  </w:abstractNum>
  <w:abstractNum w:abstractNumId="1826229">
    <w:lvl>
      <w:start w:val="1"/>
      <w:numFmt w:val="decimal"/>
      <w:suff w:val="tab"/>
      <w:lvlText w:val="%1."/>
      <w:rPr>
        <w:color w:val="3370ff"/>
      </w:rPr>
    </w:lvl>
  </w:abstractNum>
  <w:abstractNum w:abstractNumId="1826230">
    <w:lvl>
      <w:start w:val="2"/>
      <w:numFmt w:val="decimal"/>
      <w:suff w:val="tab"/>
      <w:lvlText w:val="%1."/>
      <w:rPr>
        <w:color w:val="3370ff"/>
      </w:rPr>
    </w:lvl>
  </w:abstractNum>
  <w:abstractNum w:abstractNumId="1826231">
    <w:lvl>
      <w:start w:val="3"/>
      <w:numFmt w:val="decimal"/>
      <w:suff w:val="tab"/>
      <w:lvlText w:val="%1."/>
      <w:rPr>
        <w:color w:val="3370ff"/>
      </w:rPr>
    </w:lvl>
  </w:abstractNum>
  <w:abstractNum w:abstractNumId="1826232">
    <w:lvl>
      <w:start w:val="4"/>
      <w:numFmt w:val="decimal"/>
      <w:suff w:val="tab"/>
      <w:lvlText w:val="%1."/>
      <w:rPr>
        <w:color w:val="3370ff"/>
      </w:rPr>
    </w:lvl>
  </w:abstractNum>
  <w:abstractNum w:abstractNumId="1826233">
    <w:lvl>
      <w:start w:val="1"/>
      <w:numFmt w:val="decimal"/>
      <w:suff w:val="tab"/>
      <w:lvlText w:val="%1."/>
      <w:rPr>
        <w:color w:val="3370ff"/>
      </w:rPr>
    </w:lvl>
  </w:abstractNum>
  <w:abstractNum w:abstractNumId="1826234">
    <w:lvl>
      <w:start w:val="1"/>
      <w:numFmt w:val="decimal"/>
      <w:suff w:val="tab"/>
      <w:lvlText w:val="%1."/>
      <w:rPr>
        <w:color w:val="3370ff"/>
      </w:rPr>
    </w:lvl>
  </w:abstractNum>
  <w:abstractNum w:abstractNumId="1826235">
    <w:lvl>
      <w:start w:val="1"/>
      <w:numFmt w:val="decimal"/>
      <w:suff w:val="tab"/>
      <w:lvlText w:val="%1."/>
      <w:rPr>
        <w:color w:val="3370ff"/>
      </w:rPr>
    </w:lvl>
  </w:abstractNum>
  <w:abstractNum w:abstractNumId="1826236">
    <w:lvl>
      <w:start w:val="2"/>
      <w:numFmt w:val="decimal"/>
      <w:suff w:val="tab"/>
      <w:lvlText w:val="%1."/>
      <w:rPr>
        <w:color w:val="3370ff"/>
      </w:rPr>
    </w:lvl>
  </w:abstractNum>
  <w:abstractNum w:abstractNumId="1826237">
    <w:lvl>
      <w:start w:val="1"/>
      <w:numFmt w:val="decimal"/>
      <w:suff w:val="tab"/>
      <w:lvlText w:val="%1."/>
      <w:rPr>
        <w:color w:val="3370ff"/>
      </w:rPr>
    </w:lvl>
  </w:abstractNum>
  <w:abstractNum w:abstractNumId="1826238">
    <w:lvl>
      <w:start w:val="2"/>
      <w:numFmt w:val="decimal"/>
      <w:suff w:val="tab"/>
      <w:lvlText w:val="%1."/>
      <w:rPr>
        <w:color w:val="3370ff"/>
      </w:rPr>
    </w:lvl>
  </w:abstractNum>
  <w:abstractNum w:abstractNumId="1826239">
    <w:lvl>
      <w:start w:val="3"/>
      <w:numFmt w:val="decimal"/>
      <w:suff w:val="tab"/>
      <w:lvlText w:val="%1."/>
      <w:rPr>
        <w:color w:val="3370ff"/>
      </w:rPr>
    </w:lvl>
  </w:abstractNum>
  <w:abstractNum w:abstractNumId="1826240">
    <w:lvl>
      <w:start w:val="4"/>
      <w:numFmt w:val="decimal"/>
      <w:suff w:val="tab"/>
      <w:lvlText w:val="%1."/>
      <w:rPr>
        <w:color w:val="3370ff"/>
      </w:rPr>
    </w:lvl>
  </w:abstractNum>
  <w:abstractNum w:abstractNumId="1826241">
    <w:lvl>
      <w:start w:val="5"/>
      <w:numFmt w:val="decimal"/>
      <w:suff w:val="tab"/>
      <w:lvlText w:val="%1."/>
      <w:rPr>
        <w:color w:val="3370ff"/>
      </w:rPr>
    </w:lvl>
  </w:abstractNum>
  <w:abstractNum w:abstractNumId="1826242">
    <w:lvl>
      <w:start w:val="6"/>
      <w:numFmt w:val="decimal"/>
      <w:suff w:val="tab"/>
      <w:lvlText w:val="%1."/>
      <w:rPr>
        <w:color w:val="3370ff"/>
      </w:rPr>
    </w:lvl>
  </w:abstractNum>
  <w:abstractNum w:abstractNumId="1826243">
    <w:lvl>
      <w:start w:val="7"/>
      <w:numFmt w:val="decimal"/>
      <w:suff w:val="tab"/>
      <w:lvlText w:val="%1."/>
      <w:rPr>
        <w:color w:val="3370ff"/>
      </w:rPr>
    </w:lvl>
  </w:abstractNum>
  <w:abstractNum w:abstractNumId="1826244">
    <w:lvl>
      <w:start w:val="8"/>
      <w:numFmt w:val="decimal"/>
      <w:suff w:val="tab"/>
      <w:lvlText w:val="%1."/>
      <w:rPr>
        <w:color w:val="3370ff"/>
      </w:rPr>
    </w:lvl>
  </w:abstractNum>
  <w:abstractNum w:abstractNumId="1826245">
    <w:lvl>
      <w:start w:val="1"/>
      <w:numFmt w:val="decimal"/>
      <w:suff w:val="tab"/>
      <w:lvlText w:val="%1."/>
      <w:rPr>
        <w:color w:val="3370ff"/>
      </w:rPr>
    </w:lvl>
  </w:abstractNum>
  <w:abstractNum w:abstractNumId="1826246">
    <w:lvl>
      <w:start w:val="2"/>
      <w:numFmt w:val="decimal"/>
      <w:suff w:val="tab"/>
      <w:lvlText w:val="%1."/>
      <w:rPr>
        <w:color w:val="3370ff"/>
      </w:rPr>
    </w:lvl>
  </w:abstractNum>
  <w:abstractNum w:abstractNumId="1826247">
    <w:lvl>
      <w:start w:val="1"/>
      <w:numFmt w:val="decimal"/>
      <w:suff w:val="tab"/>
      <w:lvlText w:val="%1."/>
      <w:rPr>
        <w:color w:val="3370ff"/>
      </w:rPr>
    </w:lvl>
  </w:abstractNum>
  <w:abstractNum w:abstractNumId="1826248">
    <w:lvl>
      <w:start w:val="2"/>
      <w:numFmt w:val="decimal"/>
      <w:suff w:val="tab"/>
      <w:lvlText w:val="%1."/>
      <w:rPr>
        <w:color w:val="3370ff"/>
      </w:rPr>
    </w:lvl>
  </w:abstractNum>
  <w:abstractNum w:abstractNumId="1826249">
    <w:lvl>
      <w:start w:val="1"/>
      <w:numFmt w:val="decimal"/>
      <w:suff w:val="tab"/>
      <w:lvlText w:val="%1."/>
      <w:rPr>
        <w:color w:val="3370ff"/>
      </w:rPr>
    </w:lvl>
  </w:abstractNum>
  <w:abstractNum w:abstractNumId="1826250">
    <w:lvl>
      <w:start w:val="2"/>
      <w:numFmt w:val="decimal"/>
      <w:suff w:val="tab"/>
      <w:lvlText w:val="%1."/>
      <w:rPr>
        <w:color w:val="3370ff"/>
      </w:rPr>
    </w:lvl>
  </w:abstractNum>
  <w:abstractNum w:abstractNumId="1826251">
    <w:lvl>
      <w:start w:val="3"/>
      <w:numFmt w:val="decimal"/>
      <w:suff w:val="tab"/>
      <w:lvlText w:val="%1."/>
      <w:rPr>
        <w:color w:val="3370ff"/>
      </w:rPr>
    </w:lvl>
  </w:abstractNum>
  <w:abstractNum w:abstractNumId="1826252">
    <w:lvl>
      <w:start w:val="4"/>
      <w:numFmt w:val="decimal"/>
      <w:suff w:val="tab"/>
      <w:lvlText w:val="%1."/>
      <w:rPr>
        <w:color w:val="3370ff"/>
      </w:rPr>
    </w:lvl>
  </w:abstractNum>
  <w:abstractNum w:abstractNumId="1826253">
    <w:lvl>
      <w:start w:val="5"/>
      <w:numFmt w:val="decimal"/>
      <w:suff w:val="tab"/>
      <w:lvlText w:val="%1."/>
      <w:rPr>
        <w:color w:val="3370ff"/>
      </w:rPr>
    </w:lvl>
  </w:abstractNum>
  <w:abstractNum w:abstractNumId="1826254">
    <w:lvl>
      <w:start w:val="1"/>
      <w:numFmt w:val="decimal"/>
      <w:suff w:val="tab"/>
      <w:lvlText w:val="%1."/>
      <w:rPr>
        <w:color w:val="3370ff"/>
      </w:rPr>
    </w:lvl>
  </w:abstractNum>
  <w:abstractNum w:abstractNumId="1826255">
    <w:lvl>
      <w:start w:val="2"/>
      <w:numFmt w:val="decimal"/>
      <w:suff w:val="tab"/>
      <w:lvlText w:val="%1."/>
      <w:rPr>
        <w:color w:val="3370ff"/>
      </w:rPr>
    </w:lvl>
  </w:abstractNum>
  <w:abstractNum w:abstractNumId="1826256">
    <w:lvl>
      <w:start w:val="3"/>
      <w:numFmt w:val="decimal"/>
      <w:suff w:val="tab"/>
      <w:lvlText w:val="%1."/>
      <w:rPr>
        <w:color w:val="3370ff"/>
      </w:rPr>
    </w:lvl>
  </w:abstractNum>
  <w:abstractNum w:abstractNumId="1826257">
    <w:lvl>
      <w:start w:val="1"/>
      <w:numFmt w:val="decimal"/>
      <w:suff w:val="tab"/>
      <w:lvlText w:val="%1."/>
      <w:rPr>
        <w:color w:val="3370ff"/>
      </w:rPr>
    </w:lvl>
  </w:abstractNum>
  <w:abstractNum w:abstractNumId="1826258">
    <w:lvl>
      <w:start w:val="2"/>
      <w:numFmt w:val="decimal"/>
      <w:suff w:val="tab"/>
      <w:lvlText w:val="%1."/>
      <w:rPr>
        <w:color w:val="3370ff"/>
      </w:rPr>
    </w:lvl>
  </w:abstractNum>
  <w:abstractNum w:abstractNumId="1826259">
    <w:lvl>
      <w:start w:val="3"/>
      <w:numFmt w:val="decimal"/>
      <w:suff w:val="tab"/>
      <w:lvlText w:val="%1."/>
      <w:rPr>
        <w:color w:val="3370ff"/>
      </w:rPr>
    </w:lvl>
  </w:abstractNum>
  <w:abstractNum w:abstractNumId="1826260">
    <w:lvl>
      <w:start w:val="1"/>
      <w:numFmt w:val="decimal"/>
      <w:suff w:val="tab"/>
      <w:lvlText w:val="%1."/>
      <w:rPr>
        <w:color w:val="3370ff"/>
      </w:rPr>
    </w:lvl>
  </w:abstractNum>
  <w:abstractNum w:abstractNumId="1826261">
    <w:lvl>
      <w:start w:val="1"/>
      <w:numFmt w:val="decimal"/>
      <w:suff w:val="tab"/>
      <w:lvlText w:val="%1."/>
      <w:rPr>
        <w:color w:val="3370ff"/>
      </w:rPr>
    </w:lvl>
  </w:abstractNum>
  <w:abstractNum w:abstractNumId="1826262">
    <w:lvl>
      <w:start w:val="2"/>
      <w:numFmt w:val="decimal"/>
      <w:suff w:val="tab"/>
      <w:lvlText w:val="%1."/>
      <w:rPr>
        <w:color w:val="3370ff"/>
      </w:rPr>
    </w:lvl>
  </w:abstractNum>
  <w:abstractNum w:abstractNumId="1826263">
    <w:lvl>
      <w:start w:val="1"/>
      <w:numFmt w:val="decimal"/>
      <w:suff w:val="tab"/>
      <w:lvlText w:val="%1."/>
      <w:rPr>
        <w:color w:val="3370ff"/>
      </w:rPr>
    </w:lvl>
  </w:abstractNum>
  <w:abstractNum w:abstractNumId="1826264">
    <w:lvl>
      <w:start w:val="2"/>
      <w:numFmt w:val="decimal"/>
      <w:suff w:val="tab"/>
      <w:lvlText w:val="%1."/>
      <w:rPr>
        <w:color w:val="3370ff"/>
      </w:rPr>
    </w:lvl>
  </w:abstractNum>
  <w:abstractNum w:abstractNumId="1826265">
    <w:lvl>
      <w:start w:val="3"/>
      <w:numFmt w:val="decimal"/>
      <w:suff w:val="tab"/>
      <w:lvlText w:val="%1."/>
      <w:rPr>
        <w:color w:val="3370ff"/>
      </w:rPr>
    </w:lvl>
  </w:abstractNum>
  <w:abstractNum w:abstractNumId="1826266">
    <w:lvl>
      <w:start w:val="1"/>
      <w:numFmt w:val="decimal"/>
      <w:suff w:val="tab"/>
      <w:lvlText w:val="%1."/>
      <w:rPr>
        <w:color w:val="3370ff"/>
      </w:rPr>
    </w:lvl>
  </w:abstractNum>
  <w:abstractNum w:abstractNumId="1826267">
    <w:lvl>
      <w:start w:val="2"/>
      <w:numFmt w:val="decimal"/>
      <w:suff w:val="tab"/>
      <w:lvlText w:val="%1."/>
      <w:rPr>
        <w:color w:val="3370ff"/>
      </w:rPr>
    </w:lvl>
  </w:abstractNum>
  <w:abstractNum w:abstractNumId="1826268">
    <w:lvl>
      <w:start w:val="3"/>
      <w:numFmt w:val="decimal"/>
      <w:suff w:val="tab"/>
      <w:lvlText w:val="%1."/>
      <w:rPr>
        <w:color w:val="3370ff"/>
      </w:rPr>
    </w:lvl>
  </w:abstractNum>
  <w:abstractNum w:abstractNumId="1826269">
    <w:lvl>
      <w:start w:val="4"/>
      <w:numFmt w:val="decimal"/>
      <w:suff w:val="tab"/>
      <w:lvlText w:val="%1."/>
      <w:rPr>
        <w:color w:val="3370ff"/>
      </w:rPr>
    </w:lvl>
  </w:abstractNum>
  <w:abstractNum w:abstractNumId="1826270">
    <w:lvl>
      <w:start w:val="1"/>
      <w:numFmt w:val="decimal"/>
      <w:suff w:val="tab"/>
      <w:lvlText w:val="%1."/>
      <w:rPr>
        <w:color w:val="3370ff"/>
      </w:rPr>
    </w:lvl>
  </w:abstractNum>
  <w:abstractNum w:abstractNumId="1826271">
    <w:lvl>
      <w:start w:val="2"/>
      <w:numFmt w:val="decimal"/>
      <w:suff w:val="tab"/>
      <w:lvlText w:val="%1."/>
      <w:rPr>
        <w:color w:val="3370ff"/>
      </w:rPr>
    </w:lvl>
  </w:abstractNum>
  <w:abstractNum w:abstractNumId="1826272">
    <w:lvl>
      <w:start w:val="3"/>
      <w:numFmt w:val="decimal"/>
      <w:suff w:val="tab"/>
      <w:lvlText w:val="%1."/>
      <w:rPr>
        <w:color w:val="3370ff"/>
      </w:rPr>
    </w:lvl>
  </w:abstractNum>
  <w:abstractNum w:abstractNumId="1826273">
    <w:lvl>
      <w:start w:val="4"/>
      <w:numFmt w:val="decimal"/>
      <w:suff w:val="tab"/>
      <w:lvlText w:val="%1."/>
      <w:rPr>
        <w:color w:val="3370ff"/>
      </w:rPr>
    </w:lvl>
  </w:abstractNum>
  <w:abstractNum w:abstractNumId="1826274">
    <w:lvl>
      <w:start w:val="5"/>
      <w:numFmt w:val="decimal"/>
      <w:suff w:val="tab"/>
      <w:lvlText w:val="%1."/>
      <w:rPr>
        <w:color w:val="3370ff"/>
      </w:rPr>
    </w:lvl>
  </w:abstractNum>
  <w:abstractNum w:abstractNumId="1826275">
    <w:lvl>
      <w:start w:val="1"/>
      <w:numFmt w:val="decimal"/>
      <w:suff w:val="tab"/>
      <w:lvlText w:val="%1."/>
      <w:rPr>
        <w:color w:val="3370ff"/>
      </w:rPr>
    </w:lvl>
  </w:abstractNum>
  <w:abstractNum w:abstractNumId="1826276">
    <w:lvl>
      <w:start w:val="2"/>
      <w:numFmt w:val="decimal"/>
      <w:suff w:val="tab"/>
      <w:lvlText w:val="%1."/>
      <w:rPr>
        <w:color w:val="3370ff"/>
      </w:rPr>
    </w:lvl>
  </w:abstractNum>
  <w:abstractNum w:abstractNumId="1826277">
    <w:lvl>
      <w:start w:val="3"/>
      <w:numFmt w:val="decimal"/>
      <w:suff w:val="tab"/>
      <w:lvlText w:val="%1."/>
      <w:rPr>
        <w:color w:val="3370ff"/>
      </w:rPr>
    </w:lvl>
  </w:abstractNum>
  <w:abstractNum w:abstractNumId="1826278">
    <w:lvl>
      <w:start w:val="1"/>
      <w:numFmt w:val="decimal"/>
      <w:suff w:val="tab"/>
      <w:lvlText w:val="%1."/>
      <w:rPr>
        <w:color w:val="3370ff"/>
      </w:rPr>
    </w:lvl>
  </w:abstractNum>
  <w:abstractNum w:abstractNumId="1826279">
    <w:lvl>
      <w:start w:val="2"/>
      <w:numFmt w:val="decimal"/>
      <w:suff w:val="tab"/>
      <w:lvlText w:val="%1."/>
      <w:rPr>
        <w:color w:val="3370ff"/>
      </w:rPr>
    </w:lvl>
  </w:abstractNum>
  <w:abstractNum w:abstractNumId="1826280">
    <w:lvl>
      <w:start w:val="3"/>
      <w:numFmt w:val="decimal"/>
      <w:suff w:val="tab"/>
      <w:lvlText w:val="%1."/>
      <w:rPr>
        <w:color w:val="3370ff"/>
      </w:rPr>
    </w:lvl>
  </w:abstractNum>
  <w:abstractNum w:abstractNumId="1826281">
    <w:lvl>
      <w:start w:val="1"/>
      <w:numFmt w:val="decimal"/>
      <w:suff w:val="tab"/>
      <w:lvlText w:val="%1."/>
      <w:rPr>
        <w:color w:val="3370ff"/>
      </w:rPr>
    </w:lvl>
  </w:abstractNum>
  <w:abstractNum w:abstractNumId="1826282">
    <w:lvl>
      <w:start w:val="2"/>
      <w:numFmt w:val="decimal"/>
      <w:suff w:val="tab"/>
      <w:lvlText w:val="%1."/>
      <w:rPr>
        <w:color w:val="3370ff"/>
      </w:rPr>
    </w:lvl>
  </w:abstractNum>
  <w:abstractNum w:abstractNumId="1826283">
    <w:lvl>
      <w:start w:val="3"/>
      <w:numFmt w:val="decimal"/>
      <w:suff w:val="tab"/>
      <w:lvlText w:val="%1."/>
      <w:rPr>
        <w:color w:val="3370ff"/>
      </w:rPr>
    </w:lvl>
  </w:abstractNum>
  <w:abstractNum w:abstractNumId="1826284">
    <w:lvl>
      <w:start w:val="1"/>
      <w:numFmt w:val="decimal"/>
      <w:suff w:val="tab"/>
      <w:lvlText w:val="%1."/>
      <w:rPr>
        <w:color w:val="3370ff"/>
      </w:rPr>
    </w:lvl>
  </w:abstractNum>
  <w:abstractNum w:abstractNumId="1826285">
    <w:lvl>
      <w:start w:val="2"/>
      <w:numFmt w:val="decimal"/>
      <w:suff w:val="tab"/>
      <w:lvlText w:val="%1."/>
      <w:rPr>
        <w:color w:val="3370ff"/>
      </w:rPr>
    </w:lvl>
  </w:abstractNum>
  <w:abstractNum w:abstractNumId="1826286">
    <w:lvl>
      <w:start w:val="3"/>
      <w:numFmt w:val="decimal"/>
      <w:suff w:val="tab"/>
      <w:lvlText w:val="%1."/>
      <w:rPr>
        <w:color w:val="3370ff"/>
      </w:rPr>
    </w:lvl>
  </w:abstractNum>
  <w:abstractNum w:abstractNumId="1826287">
    <w:lvl>
      <w:start w:val="4"/>
      <w:numFmt w:val="decimal"/>
      <w:suff w:val="tab"/>
      <w:lvlText w:val="%1."/>
      <w:rPr>
        <w:color w:val="3370ff"/>
      </w:rPr>
    </w:lvl>
  </w:abstractNum>
  <w:abstractNum w:abstractNumId="1826288">
    <w:lvl>
      <w:start w:val="5"/>
      <w:numFmt w:val="decimal"/>
      <w:suff w:val="tab"/>
      <w:lvlText w:val="%1."/>
      <w:rPr>
        <w:color w:val="3370ff"/>
      </w:rPr>
    </w:lvl>
  </w:abstractNum>
  <w:abstractNum w:abstractNumId="1826289">
    <w:lvl>
      <w:start w:val="1"/>
      <w:numFmt w:val="decimal"/>
      <w:suff w:val="tab"/>
      <w:lvlText w:val="%1."/>
      <w:rPr>
        <w:color w:val="3370ff"/>
      </w:rPr>
    </w:lvl>
  </w:abstractNum>
  <w:abstractNum w:abstractNumId="1826290">
    <w:lvl>
      <w:start w:val="2"/>
      <w:numFmt w:val="decimal"/>
      <w:suff w:val="tab"/>
      <w:lvlText w:val="%1."/>
      <w:rPr>
        <w:color w:val="3370ff"/>
      </w:rPr>
    </w:lvl>
  </w:abstractNum>
  <w:abstractNum w:abstractNumId="1826291">
    <w:lvl>
      <w:start w:val="3"/>
      <w:numFmt w:val="decimal"/>
      <w:suff w:val="tab"/>
      <w:lvlText w:val="%1."/>
      <w:rPr>
        <w:color w:val="3370ff"/>
      </w:rPr>
    </w:lvl>
  </w:abstractNum>
  <w:num w:numId="1">
    <w:abstractNumId w:val="1826090"/>
  </w:num>
  <w:num w:numId="2">
    <w:abstractNumId w:val="1826091"/>
  </w:num>
  <w:num w:numId="3">
    <w:abstractNumId w:val="1826092"/>
  </w:num>
  <w:num w:numId="4">
    <w:abstractNumId w:val="1826093"/>
  </w:num>
  <w:num w:numId="5">
    <w:abstractNumId w:val="1826094"/>
  </w:num>
  <w:num w:numId="6">
    <w:abstractNumId w:val="1826095"/>
  </w:num>
  <w:num w:numId="7">
    <w:abstractNumId w:val="1826096"/>
  </w:num>
  <w:num w:numId="8">
    <w:abstractNumId w:val="1826097"/>
  </w:num>
  <w:num w:numId="9">
    <w:abstractNumId w:val="1826098"/>
  </w:num>
  <w:num w:numId="10">
    <w:abstractNumId w:val="1826099"/>
  </w:num>
  <w:num w:numId="11">
    <w:abstractNumId w:val="1826100"/>
  </w:num>
  <w:num w:numId="12">
    <w:abstractNumId w:val="1826101"/>
  </w:num>
  <w:num w:numId="13">
    <w:abstractNumId w:val="1826102"/>
  </w:num>
  <w:num w:numId="14">
    <w:abstractNumId w:val="1826103"/>
  </w:num>
  <w:num w:numId="15">
    <w:abstractNumId w:val="1826104"/>
  </w:num>
  <w:num w:numId="16">
    <w:abstractNumId w:val="1826105"/>
  </w:num>
  <w:num w:numId="17">
    <w:abstractNumId w:val="1826106"/>
  </w:num>
  <w:num w:numId="18">
    <w:abstractNumId w:val="1826107"/>
  </w:num>
  <w:num w:numId="19">
    <w:abstractNumId w:val="1826108"/>
  </w:num>
  <w:num w:numId="20">
    <w:abstractNumId w:val="1826109"/>
  </w:num>
  <w:num w:numId="21">
    <w:abstractNumId w:val="1826110"/>
  </w:num>
  <w:num w:numId="22">
    <w:abstractNumId w:val="1826111"/>
  </w:num>
  <w:num w:numId="23">
    <w:abstractNumId w:val="1826112"/>
  </w:num>
  <w:num w:numId="24">
    <w:abstractNumId w:val="1826113"/>
  </w:num>
  <w:num w:numId="25">
    <w:abstractNumId w:val="1826114"/>
  </w:num>
  <w:num w:numId="26">
    <w:abstractNumId w:val="1826115"/>
  </w:num>
  <w:num w:numId="27">
    <w:abstractNumId w:val="1826116"/>
  </w:num>
  <w:num w:numId="28">
    <w:abstractNumId w:val="1826117"/>
  </w:num>
  <w:num w:numId="29">
    <w:abstractNumId w:val="1826118"/>
  </w:num>
  <w:num w:numId="30">
    <w:abstractNumId w:val="1826119"/>
  </w:num>
  <w:num w:numId="31">
    <w:abstractNumId w:val="1826120"/>
  </w:num>
  <w:num w:numId="32">
    <w:abstractNumId w:val="1826121"/>
  </w:num>
  <w:num w:numId="33">
    <w:abstractNumId w:val="1826122"/>
  </w:num>
  <w:num w:numId="34">
    <w:abstractNumId w:val="1826123"/>
  </w:num>
  <w:num w:numId="35">
    <w:abstractNumId w:val="1826124"/>
  </w:num>
  <w:num w:numId="36">
    <w:abstractNumId w:val="1826125"/>
  </w:num>
  <w:num w:numId="37">
    <w:abstractNumId w:val="1826126"/>
  </w:num>
  <w:num w:numId="38">
    <w:abstractNumId w:val="1826127"/>
  </w:num>
  <w:num w:numId="39">
    <w:abstractNumId w:val="1826128"/>
  </w:num>
  <w:num w:numId="40">
    <w:abstractNumId w:val="1826129"/>
  </w:num>
  <w:num w:numId="41">
    <w:abstractNumId w:val="1826130"/>
  </w:num>
  <w:num w:numId="42">
    <w:abstractNumId w:val="1826131"/>
  </w:num>
  <w:num w:numId="43">
    <w:abstractNumId w:val="1826132"/>
  </w:num>
  <w:num w:numId="44">
    <w:abstractNumId w:val="1826133"/>
  </w:num>
  <w:num w:numId="45">
    <w:abstractNumId w:val="1826134"/>
  </w:num>
  <w:num w:numId="46">
    <w:abstractNumId w:val="1826135"/>
  </w:num>
  <w:num w:numId="47">
    <w:abstractNumId w:val="1826136"/>
  </w:num>
  <w:num w:numId="48">
    <w:abstractNumId w:val="1826137"/>
  </w:num>
  <w:num w:numId="49">
    <w:abstractNumId w:val="1826138"/>
  </w:num>
  <w:num w:numId="50">
    <w:abstractNumId w:val="1826139"/>
  </w:num>
  <w:num w:numId="51">
    <w:abstractNumId w:val="1826140"/>
  </w:num>
  <w:num w:numId="52">
    <w:abstractNumId w:val="1826141"/>
  </w:num>
  <w:num w:numId="53">
    <w:abstractNumId w:val="1826142"/>
  </w:num>
  <w:num w:numId="54">
    <w:abstractNumId w:val="1826143"/>
  </w:num>
  <w:num w:numId="55">
    <w:abstractNumId w:val="1826144"/>
  </w:num>
  <w:num w:numId="56">
    <w:abstractNumId w:val="1826145"/>
  </w:num>
  <w:num w:numId="57">
    <w:abstractNumId w:val="1826146"/>
  </w:num>
  <w:num w:numId="58">
    <w:abstractNumId w:val="1826147"/>
  </w:num>
  <w:num w:numId="59">
    <w:abstractNumId w:val="1826148"/>
  </w:num>
  <w:num w:numId="60">
    <w:abstractNumId w:val="1826149"/>
  </w:num>
  <w:num w:numId="61">
    <w:abstractNumId w:val="1826150"/>
  </w:num>
  <w:num w:numId="62">
    <w:abstractNumId w:val="1826151"/>
  </w:num>
  <w:num w:numId="63">
    <w:abstractNumId w:val="1826152"/>
  </w:num>
  <w:num w:numId="64">
    <w:abstractNumId w:val="1826153"/>
  </w:num>
  <w:num w:numId="65">
    <w:abstractNumId w:val="1826154"/>
  </w:num>
  <w:num w:numId="66">
    <w:abstractNumId w:val="1826155"/>
  </w:num>
  <w:num w:numId="67">
    <w:abstractNumId w:val="1826156"/>
  </w:num>
  <w:num w:numId="68">
    <w:abstractNumId w:val="1826157"/>
  </w:num>
  <w:num w:numId="69">
    <w:abstractNumId w:val="1826158"/>
  </w:num>
  <w:num w:numId="70">
    <w:abstractNumId w:val="1826159"/>
  </w:num>
  <w:num w:numId="71">
    <w:abstractNumId w:val="1826160"/>
  </w:num>
  <w:num w:numId="72">
    <w:abstractNumId w:val="1826161"/>
  </w:num>
  <w:num w:numId="73">
    <w:abstractNumId w:val="1826162"/>
  </w:num>
  <w:num w:numId="74">
    <w:abstractNumId w:val="1826163"/>
  </w:num>
  <w:num w:numId="75">
    <w:abstractNumId w:val="1826164"/>
  </w:num>
  <w:num w:numId="76">
    <w:abstractNumId w:val="1826165"/>
  </w:num>
  <w:num w:numId="77">
    <w:abstractNumId w:val="1826166"/>
  </w:num>
  <w:num w:numId="78">
    <w:abstractNumId w:val="1826167"/>
  </w:num>
  <w:num w:numId="79">
    <w:abstractNumId w:val="1826168"/>
  </w:num>
  <w:num w:numId="80">
    <w:abstractNumId w:val="1826169"/>
  </w:num>
  <w:num w:numId="81">
    <w:abstractNumId w:val="1826170"/>
  </w:num>
  <w:num w:numId="82">
    <w:abstractNumId w:val="1826171"/>
  </w:num>
  <w:num w:numId="83">
    <w:abstractNumId w:val="1826172"/>
  </w:num>
  <w:num w:numId="84">
    <w:abstractNumId w:val="1826173"/>
  </w:num>
  <w:num w:numId="85">
    <w:abstractNumId w:val="1826174"/>
  </w:num>
  <w:num w:numId="86">
    <w:abstractNumId w:val="1826175"/>
  </w:num>
  <w:num w:numId="87">
    <w:abstractNumId w:val="1826176"/>
  </w:num>
  <w:num w:numId="88">
    <w:abstractNumId w:val="1826177"/>
  </w:num>
  <w:num w:numId="89">
    <w:abstractNumId w:val="1826178"/>
  </w:num>
  <w:num w:numId="90">
    <w:abstractNumId w:val="1826179"/>
  </w:num>
  <w:num w:numId="91">
    <w:abstractNumId w:val="1826180"/>
  </w:num>
  <w:num w:numId="92">
    <w:abstractNumId w:val="1826181"/>
  </w:num>
  <w:num w:numId="93">
    <w:abstractNumId w:val="1826182"/>
  </w:num>
  <w:num w:numId="94">
    <w:abstractNumId w:val="1826183"/>
  </w:num>
  <w:num w:numId="95">
    <w:abstractNumId w:val="1826184"/>
  </w:num>
  <w:num w:numId="96">
    <w:abstractNumId w:val="1826185"/>
  </w:num>
  <w:num w:numId="97">
    <w:abstractNumId w:val="1826186"/>
  </w:num>
  <w:num w:numId="98">
    <w:abstractNumId w:val="1826187"/>
  </w:num>
  <w:num w:numId="99">
    <w:abstractNumId w:val="1826188"/>
  </w:num>
  <w:num w:numId="100">
    <w:abstractNumId w:val="1826189"/>
  </w:num>
  <w:num w:numId="101">
    <w:abstractNumId w:val="1826190"/>
  </w:num>
  <w:num w:numId="102">
    <w:abstractNumId w:val="1826191"/>
  </w:num>
  <w:num w:numId="103">
    <w:abstractNumId w:val="1826192"/>
  </w:num>
  <w:num w:numId="104">
    <w:abstractNumId w:val="1826193"/>
  </w:num>
  <w:num w:numId="105">
    <w:abstractNumId w:val="1826194"/>
  </w:num>
  <w:num w:numId="106">
    <w:abstractNumId w:val="1826195"/>
  </w:num>
  <w:num w:numId="107">
    <w:abstractNumId w:val="1826196"/>
  </w:num>
  <w:num w:numId="108">
    <w:abstractNumId w:val="1826197"/>
  </w:num>
  <w:num w:numId="109">
    <w:abstractNumId w:val="1826198"/>
  </w:num>
  <w:num w:numId="110">
    <w:abstractNumId w:val="1826199"/>
  </w:num>
  <w:num w:numId="111">
    <w:abstractNumId w:val="1826200"/>
  </w:num>
  <w:num w:numId="112">
    <w:abstractNumId w:val="1826201"/>
  </w:num>
  <w:num w:numId="113">
    <w:abstractNumId w:val="1826202"/>
  </w:num>
  <w:num w:numId="114">
    <w:abstractNumId w:val="1826203"/>
  </w:num>
  <w:num w:numId="115">
    <w:abstractNumId w:val="1826204"/>
  </w:num>
  <w:num w:numId="116">
    <w:abstractNumId w:val="1826205"/>
  </w:num>
  <w:num w:numId="117">
    <w:abstractNumId w:val="1826206"/>
  </w:num>
  <w:num w:numId="118">
    <w:abstractNumId w:val="1826207"/>
  </w:num>
  <w:num w:numId="119">
    <w:abstractNumId w:val="1826208"/>
  </w:num>
  <w:num w:numId="120">
    <w:abstractNumId w:val="1826209"/>
  </w:num>
  <w:num w:numId="121">
    <w:abstractNumId w:val="1826210"/>
  </w:num>
  <w:num w:numId="122">
    <w:abstractNumId w:val="1826211"/>
  </w:num>
  <w:num w:numId="123">
    <w:abstractNumId w:val="1826212"/>
  </w:num>
  <w:num w:numId="124">
    <w:abstractNumId w:val="1826213"/>
  </w:num>
  <w:num w:numId="125">
    <w:abstractNumId w:val="1826214"/>
  </w:num>
  <w:num w:numId="126">
    <w:abstractNumId w:val="1826215"/>
  </w:num>
  <w:num w:numId="127">
    <w:abstractNumId w:val="1826216"/>
  </w:num>
  <w:num w:numId="128">
    <w:abstractNumId w:val="1826217"/>
  </w:num>
  <w:num w:numId="129">
    <w:abstractNumId w:val="1826218"/>
  </w:num>
  <w:num w:numId="130">
    <w:abstractNumId w:val="1826219"/>
  </w:num>
  <w:num w:numId="131">
    <w:abstractNumId w:val="1826220"/>
  </w:num>
  <w:num w:numId="132">
    <w:abstractNumId w:val="1826221"/>
  </w:num>
  <w:num w:numId="133">
    <w:abstractNumId w:val="1826222"/>
  </w:num>
  <w:num w:numId="134">
    <w:abstractNumId w:val="1826223"/>
  </w:num>
  <w:num w:numId="135">
    <w:abstractNumId w:val="1826224"/>
  </w:num>
  <w:num w:numId="136">
    <w:abstractNumId w:val="1826225"/>
  </w:num>
  <w:num w:numId="137">
    <w:abstractNumId w:val="1826226"/>
  </w:num>
  <w:num w:numId="138">
    <w:abstractNumId w:val="1826227"/>
  </w:num>
  <w:num w:numId="139">
    <w:abstractNumId w:val="1826228"/>
  </w:num>
  <w:num w:numId="140">
    <w:abstractNumId w:val="1826229"/>
  </w:num>
  <w:num w:numId="141">
    <w:abstractNumId w:val="1826230"/>
  </w:num>
  <w:num w:numId="142">
    <w:abstractNumId w:val="1826231"/>
  </w:num>
  <w:num w:numId="143">
    <w:abstractNumId w:val="1826232"/>
  </w:num>
  <w:num w:numId="144">
    <w:abstractNumId w:val="1826233"/>
  </w:num>
  <w:num w:numId="145">
    <w:abstractNumId w:val="1826234"/>
  </w:num>
  <w:num w:numId="146">
    <w:abstractNumId w:val="1826235"/>
  </w:num>
  <w:num w:numId="147">
    <w:abstractNumId w:val="1826236"/>
  </w:num>
  <w:num w:numId="148">
    <w:abstractNumId w:val="1826237"/>
  </w:num>
  <w:num w:numId="149">
    <w:abstractNumId w:val="1826238"/>
  </w:num>
  <w:num w:numId="150">
    <w:abstractNumId w:val="1826239"/>
  </w:num>
  <w:num w:numId="151">
    <w:abstractNumId w:val="1826240"/>
  </w:num>
  <w:num w:numId="152">
    <w:abstractNumId w:val="1826241"/>
  </w:num>
  <w:num w:numId="153">
    <w:abstractNumId w:val="1826242"/>
  </w:num>
  <w:num w:numId="154">
    <w:abstractNumId w:val="1826243"/>
  </w:num>
  <w:num w:numId="155">
    <w:abstractNumId w:val="1826244"/>
  </w:num>
  <w:num w:numId="156">
    <w:abstractNumId w:val="1826245"/>
  </w:num>
  <w:num w:numId="157">
    <w:abstractNumId w:val="1826246"/>
  </w:num>
  <w:num w:numId="158">
    <w:abstractNumId w:val="1826247"/>
  </w:num>
  <w:num w:numId="159">
    <w:abstractNumId w:val="1826248"/>
  </w:num>
  <w:num w:numId="160">
    <w:abstractNumId w:val="1826249"/>
  </w:num>
  <w:num w:numId="161">
    <w:abstractNumId w:val="1826250"/>
  </w:num>
  <w:num w:numId="162">
    <w:abstractNumId w:val="1826251"/>
  </w:num>
  <w:num w:numId="163">
    <w:abstractNumId w:val="1826252"/>
  </w:num>
  <w:num w:numId="164">
    <w:abstractNumId w:val="1826253"/>
  </w:num>
  <w:num w:numId="165">
    <w:abstractNumId w:val="1826254"/>
  </w:num>
  <w:num w:numId="166">
    <w:abstractNumId w:val="1826255"/>
  </w:num>
  <w:num w:numId="167">
    <w:abstractNumId w:val="1826256"/>
  </w:num>
  <w:num w:numId="168">
    <w:abstractNumId w:val="1826257"/>
  </w:num>
  <w:num w:numId="169">
    <w:abstractNumId w:val="1826258"/>
  </w:num>
  <w:num w:numId="170">
    <w:abstractNumId w:val="1826259"/>
  </w:num>
  <w:num w:numId="171">
    <w:abstractNumId w:val="1826260"/>
  </w:num>
  <w:num w:numId="172">
    <w:abstractNumId w:val="1826261"/>
  </w:num>
  <w:num w:numId="173">
    <w:abstractNumId w:val="1826262"/>
  </w:num>
  <w:num w:numId="174">
    <w:abstractNumId w:val="1826263"/>
  </w:num>
  <w:num w:numId="175">
    <w:abstractNumId w:val="1826264"/>
  </w:num>
  <w:num w:numId="176">
    <w:abstractNumId w:val="1826265"/>
  </w:num>
  <w:num w:numId="177">
    <w:abstractNumId w:val="1826266"/>
  </w:num>
  <w:num w:numId="178">
    <w:abstractNumId w:val="1826267"/>
  </w:num>
  <w:num w:numId="179">
    <w:abstractNumId w:val="1826268"/>
  </w:num>
  <w:num w:numId="180">
    <w:abstractNumId w:val="1826269"/>
  </w:num>
  <w:num w:numId="181">
    <w:abstractNumId w:val="1826270"/>
  </w:num>
  <w:num w:numId="182">
    <w:abstractNumId w:val="1826271"/>
  </w:num>
  <w:num w:numId="183">
    <w:abstractNumId w:val="1826272"/>
  </w:num>
  <w:num w:numId="184">
    <w:abstractNumId w:val="1826273"/>
  </w:num>
  <w:num w:numId="185">
    <w:abstractNumId w:val="1826274"/>
  </w:num>
  <w:num w:numId="186">
    <w:abstractNumId w:val="1826275"/>
  </w:num>
  <w:num w:numId="187">
    <w:abstractNumId w:val="1826276"/>
  </w:num>
  <w:num w:numId="188">
    <w:abstractNumId w:val="1826277"/>
  </w:num>
  <w:num w:numId="189">
    <w:abstractNumId w:val="1826278"/>
  </w:num>
  <w:num w:numId="190">
    <w:abstractNumId w:val="1826279"/>
  </w:num>
  <w:num w:numId="191">
    <w:abstractNumId w:val="1826280"/>
  </w:num>
  <w:num w:numId="192">
    <w:abstractNumId w:val="1826281"/>
  </w:num>
  <w:num w:numId="193">
    <w:abstractNumId w:val="1826282"/>
  </w:num>
  <w:num w:numId="194">
    <w:abstractNumId w:val="1826283"/>
  </w:num>
  <w:num w:numId="195">
    <w:abstractNumId w:val="1826284"/>
  </w:num>
  <w:num w:numId="196">
    <w:abstractNumId w:val="1826285"/>
  </w:num>
  <w:num w:numId="197">
    <w:abstractNumId w:val="1826286"/>
  </w:num>
  <w:num w:numId="198">
    <w:abstractNumId w:val="1826287"/>
  </w:num>
  <w:num w:numId="199">
    <w:abstractNumId w:val="1826288"/>
  </w:num>
  <w:num w:numId="200">
    <w:abstractNumId w:val="1826289"/>
  </w:num>
  <w:num w:numId="201">
    <w:abstractNumId w:val="1826290"/>
  </w:num>
  <w:num w:numId="202">
    <w:abstractNumId w:val="182629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w8u32nmglo.feishu.cn/wiki/VREzwgDwKiE9eJkEFUQcSy2Ense?from=from_copylink"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2026-10-10T02:12:59Z</dcterms:created>
  <dc:creator>Apache POI</dc:creator>
</cp:coreProperties>
</file>