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Times New Roman" w:cs="Times New Roman" w:eastAsia="SimSun" w:hAnsi="Times New Roman"/>
          <w:b/>
          <w:bCs/>
          <w:sz w:val="32"/>
          <w:szCs w:val="32"/>
        </w:rPr>
        <w:t xml:space="preserve">论文执行路线：松弛状态图编码与学习式 Diving</w:t>
      </w:r>
    </w:p>
    <w:p>
      <w:pPr>
        <w:spacing w:after="240"/>
        <w:jc w:val="center"/>
      </w:pPr>
      <w:r>
        <w:rPr>
          <w:rFonts w:ascii="Times New Roman" w:cs="Times New Roman" w:eastAsia="SimSun" w:hAnsi="Times New Roman"/>
          <w:sz w:val="21"/>
          <w:szCs w:val="21"/>
        </w:rPr>
        <w:t xml:space="preserve">可执行版，2026-10-06。配套文档：《方案设计 v3》</w:t>
      </w:r>
    </w:p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sz w:val="28"/>
          <w:szCs w:val="28"/>
        </w:rPr>
        <w:t xml:space="preserve">零、使用说明</w:t>
      </w:r>
    </w:p>
    <w:p>
      <w:pPr>
        <w:spacing w:after="100" w:line="340"/>
        <w:jc w:val="both"/>
      </w:pPr>
      <w:r>
        <w:rPr>
          <w:rFonts w:ascii="Times New Roman" w:cs="Times New Roman" w:eastAsia="SimSun" w:hAnsi="Times New Roman"/>
          <w:sz w:val="21"/>
          <w:szCs w:val="21"/>
        </w:rPr>
        <w:t xml:space="preserve">本路线按阶段编号，每个任务写明改哪个文件、跑什么命令、产出什么文件、通过什么数值才算完成。每个阶段末尾有决策点，决策点不通过不进入下一阶段。所有脚本输出到 console，结果文件统一放 results/ 目录，每次运行记录命令、种子和代码版本号。工时按一人全职估计。分工按两个角色写：A 为方法与分析，B 为数据与运行（论文作者）；一人承担两角色时按顺序执行。</w:t>
      </w:r>
    </w:p>
    <w:p>
      <w:pPr>
        <w:spacing w:after="100" w:line="340"/>
        <w:jc w:val="both"/>
      </w:pPr>
      <w:r>
        <w:rPr>
          <w:rFonts w:ascii="Times New Roman" w:cs="Times New Roman" w:eastAsia="SimSun" w:hAnsi="Times New Roman"/>
          <w:sz w:val="21"/>
          <w:szCs w:val="21"/>
        </w:rPr>
        <w:t xml:space="preserve">代码路径约定：作者工程根目录记为 RL_MINLP/，本路线新增文件放在 RL_MINLP/relax_dive/ 下，原有文件只做最小改动并保留开关，保证 w/o Diff 等旧配置可原样复现。</w:t>
      </w:r>
    </w:p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sz w:val="28"/>
          <w:szCs w:val="28"/>
        </w:rPr>
        <w:t xml:space="preserve">一、阶段一：固定基线与口径（第 1 周，前置条件）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500"/>
        <w:gridCol w:w="3600"/>
        <w:gridCol w:w="1900"/>
        <w:gridCol w:w="1900"/>
      </w:tblGrid>
      <w:tr>
        <w:trPr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编号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任务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具体操作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产出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验收标准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1.1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冻结数据集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收集 180 场景开发集、Test30、80 业务 60 实例的 canonical JSON；记录每个文件 SHA256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data/dev180/、data/test30/、data/n80/、data/MANIFEST.txt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三个目录文件数分别为 180、30、60，SHA256 与作者记录一致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1.2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统一评价脚本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以 rl_top/evaluation.py 的 evaluate 为唯一口径，写 relax_dive/eval_solution.py：输入实例与 choices，输出 S、J、可行性；Gap 按阶段一认证规则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eval_solution.py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对作者已保存的任意 5 个 RL 解重算 S、J，与报告值误差小于 1e-8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1.3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不学习基线落地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把 baselines/diving_baseline.py 的 greedy、qp_round、qp_diving 改为读取 canonical JSON 目录运行；加 --order 参数支持作者的 business_order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relax_dive/baselines.py；results/baselines_dev180.csv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180 场景全部可行；qp_diving 单实例时间记录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1.4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SCIP 认证基线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对 dev180 与 n80 用 benchmark_lexicographic.py 跑 15+15 s 与 60+60 s 两档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results/scip_dev180_15.csv、scip_dev180_60.csv、scip_n80_60.csv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每实例记录 S、J、阶段一认证、阶段二认证、时间；60 s 档认证比例不低于 15 s 档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1.5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配对比较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将 paired_scenarios.csv 的五组 RL 与 1.3 的三个基线逐场景配对，Wilcoxon 检验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results/paired_rl_vs_baselines.csv；一页结论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报告 S、J 的配对差值、胜平负、p 值</w:t>
            </w:r>
          </w:p>
        </w:tc>
      </w:tr>
    </w:tbl>
    <w:p>
      <w:pPr>
        <w:spacing w:after="100" w:line="340"/>
        <w:jc w:val="both"/>
      </w:pPr>
      <w:r>
        <w:rPr>
          <w:rFonts w:ascii="Times New Roman" w:cs="Times New Roman" w:eastAsia="SimSun" w:hAnsi="Times New Roman"/>
          <w:sz w:val="21"/>
          <w:szCs w:val="21"/>
        </w:rPr>
        <w:t xml:space="preserve">决策点一：若 qp_diving 在 dev180 上 S 与 J 均显著优于 w/o Diff，则进入阶段二，论文叙事定为"用学习替代逐步重解"。若 w/o Diff 已不差于 qp_diving，则改为阶段二 的备选叙事"松弛特征增强现有 RL"，后续任务不变但成立条件改为 2.4 的 B 组。</w:t>
      </w:r>
    </w:p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sz w:val="28"/>
          <w:szCs w:val="28"/>
        </w:rPr>
        <w:t xml:space="preserve">二、阶段二：松弛状态特征与接口（第 2 周）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500"/>
        <w:gridCol w:w="3600"/>
        <w:gridCol w:w="1900"/>
        <w:gridCol w:w="1900"/>
      </w:tblGrid>
      <w:tr>
        <w:trPr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编号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任务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具体操作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产出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验收标准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2.1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松弛求解器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新建 relax_dive/relaxation.py：函数 solve_lex_relax(instance, fixed) 返回 u[b][p]、S*、J_relax、容量对偶 λ_e（阶段一 LP 由 HiGHS 直接给 dual）、阶段二 KKT 乘子（SLSQP 后用 relax_qp 的同法 LP 认证取得）；支持 fixed 字典增量更新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relaxation.py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与 baselines.py 的 relax_qp 在 20 个实例上 S* 一致；40 业务单次求解时间小于 0.6 s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2.2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观测扩展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修改 rl_top/graph.py 的 observation：增加参数 relax=None；为 link 加 4 维（松弛利用率、λ_e 归一、阶段二乘子、是否瓶颈）、path 加 3 维（u_bp、路径 λ 之和、是否业务内最大分量）、business 加 4 维（松弛满足率、分数程度、是否已按松弛直接固定、拒绝松弛代价）；FEATURES 字典随开关变化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graph.py（带 use_relax 开关）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use_relax=False 时输出与原版逐元素一致（单元测试）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2.3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环境扩展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修改 rl_top/environment.py：构造参数 relax_every（0 表示只在 reset 时解一次，1 表示每步重解，m 表示每固定 m 个业务重解）；step 后按设置更新松弛并传入 observation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environment.py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relax_every=0 与原环境在动作序列相同时 S、J 完全一致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2.4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词典序奖励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修改 rl_top/evaluation.py：新增 training_reward_lex(before, after, terminal, eta)：中间步 ΔS − 10×violation，终局再加 −eta×J_final，eta 默认 0.1/|B|；旧奖励保留为 training_reward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evaluation.py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两种奖励可通过配置切换；单元测试覆盖终局与非终局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2.5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两级策略头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在 pure_model.py 的 PureEncoder 基础上新建 relax_dive/policy.py：business 级打分 score_business(state) 输出未固定业务的 logits；path 级沿用 score_query 与 score_reject；可配置 order_mode ∈ {fixed, learned}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policy.py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order_mode=fixed 时与原策略在相同权重下输出一致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2.6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小规模联调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10 业务 LF 1.5 的 20 个场景，relax_every=1、order_mode=fixed、模仿 0 轮，跑 SPO 20 轮确认不报错并打印每轮 S、J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results/smoke_10b.log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20 轮内 S 单调不降趋势，可行率 100%</w:t>
            </w:r>
          </w:p>
        </w:tc>
      </w:tr>
    </w:tbl>
    <w:p>
      <w:pPr>
        <w:spacing w:after="100" w:line="340"/>
        <w:jc w:val="both"/>
      </w:pPr>
      <w:r>
        <w:rPr>
          <w:rFonts w:ascii="Times New Roman" w:cs="Times New Roman" w:eastAsia="SimSun" w:hAnsi="Times New Roman"/>
          <w:sz w:val="21"/>
          <w:szCs w:val="21"/>
        </w:rPr>
        <w:t xml:space="preserve">决策点二：2.2 与 2.3 的一致性测试必须全部通过；否则后续所有对照都不成立。</w:t>
      </w:r>
    </w:p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sz w:val="28"/>
          <w:szCs w:val="28"/>
        </w:rPr>
        <w:t xml:space="preserve">三、阶段三：训练流程（第 3 到 4 周）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500"/>
        <w:gridCol w:w="3600"/>
        <w:gridCol w:w="1900"/>
        <w:gridCol w:w="1900"/>
      </w:tblGrid>
      <w:tr>
        <w:trPr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编号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任务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具体操作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产出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验收标准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3.1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模仿数据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对训练池（432 基础实例、1296 场景）跑 qp_diving，记录每步（状态、固定的业务、选的路径）；另对能在 60 s 内认证的实例记录 SCIP 解作为第二标签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data/imitation/dive_traj.pkl、scip_labels.pkl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轨迹数等于 Σ 业务数；SCIP 标签覆盖率记录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3.2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模仿训练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relax_dive/train_imitation.py：交叉熵同时训练业务级与路径级头，验证集为 dev180 的轨迹；早停按验证损失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ckpt/imitation_seed{0..4}.pt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路径级 top-1 准确率不低于 0.9；业务级不低于 0.6（qp_diving 的顺序本身有多解，门槛放宽）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3.3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推理评估（m=0）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用模仿权重在 dev180 推理：只在 reset 解一次松弛，策略逐步固定全部业务；对比 qp_round、qp_diving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results/imit_m0_dev180.csv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S 不低于 qp_round；推理时间小于 qp_round 的 2 倍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3.4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重解频率扫描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relax_every ∈ {0, 2, 5, |B|}，记录 S、J、时间曲线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results/relax_every_scan.csv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给出质量与时间的帕累托前沿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3.5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SPO 微调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以 3.2 权重初始化，词典序奖励，108 轮同作者协议，5 个训练种子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ckpt/spo_seed{0..4}.pt；results/spo_dev180.csv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5 种子均值 S 不低于模仿权重；J 不高于模仿权重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3.6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旧配置复跑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w/o Diff、Complete-BPL、Full-Diff 各 5 种子 108 轮，同数据同协议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results/old_configs_5seeds.csv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与作者单种子报告值在合理范围内（均值差小于 0.005）</w:t>
            </w:r>
          </w:p>
        </w:tc>
      </w:tr>
    </w:tbl>
    <w:p>
      <w:pPr>
        <w:spacing w:after="100" w:line="340"/>
        <w:jc w:val="both"/>
      </w:pPr>
      <w:r>
        <w:rPr>
          <w:rFonts w:ascii="Times New Roman" w:cs="Times New Roman" w:eastAsia="SimSun" w:hAnsi="Times New Roman"/>
          <w:sz w:val="21"/>
          <w:szCs w:val="21"/>
        </w:rPr>
        <w:t xml:space="preserve">决策点三：按 3.5 与 3.6 配对检验。方案成立条件：在 dev180 上本方案 S、J 与 qp_diving 无显著差异（p 大于 0.05 且均值差小于 0.002），且显著优于 w/o Diff。任一不满足，先做阶段四 的消融定位原因，再决定是否调整 eta、relax_every 或模仿标签。</w:t>
      </w:r>
    </w:p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sz w:val="28"/>
          <w:szCs w:val="28"/>
        </w:rPr>
        <w:t xml:space="preserve">四、阶段四：消融与对照（第 5 周）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200"/>
        <w:gridCol w:w="3000"/>
        <w:gridCol w:w="2800"/>
      </w:tblGrid>
      <w:tr>
        <w:trPr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编号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配置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目的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通过标准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4.1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去对偶价格特征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对偶信息是否有贡献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去掉后 S 或 J 显著变差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4.2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去松弛原始解特征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原始解是否有贡献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同上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4.3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两者都去（即 w/o Diff 加两级头）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收益是否来自松弛信息而非策略头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显著差于完整方案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4.4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order_mode=fixed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学习顺序是否有贡献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学习顺序不差于固定顺序；高 LF 下显著更好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4.5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只模仿、只强化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两阶段训练是否都需要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完整方案不差于任一单独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4.6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旧奖励 ΔS − 0.01ΔJ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词典序奖励的作用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J 显著更低，S 不降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4.7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参数量对齐的 Complete-BPL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排除参数量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完整方案仍显著更好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4.8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松弛特征加噪或置零但保留维度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排除"多几维输入"本身的作用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显著差于完整方案</w:t>
            </w:r>
          </w:p>
        </w:tc>
      </w:tr>
    </w:tbl>
    <w:p>
      <w:pPr>
        <w:spacing w:after="100" w:line="340"/>
        <w:jc w:val="both"/>
      </w:pPr>
      <w:r>
        <w:rPr>
          <w:rFonts w:ascii="Times New Roman" w:cs="Times New Roman" w:eastAsia="SimSun" w:hAnsi="Times New Roman"/>
          <w:sz w:val="21"/>
          <w:szCs w:val="21"/>
        </w:rPr>
        <w:t xml:space="preserve">全部配置 5 种子，dev180 配对 Wilcoxon，结果表按业务数与 LF 分组，另按业务内候选重叠度中位数分组。</w:t>
      </w:r>
    </w:p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sz w:val="28"/>
          <w:szCs w:val="28"/>
        </w:rPr>
        <w:t xml:space="preserve">五、阶段五：规模外推与真实拓扑（第 6 周）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500"/>
        <w:gridCol w:w="3600"/>
        <w:gridCol w:w="1900"/>
        <w:gridCol w:w="1900"/>
      </w:tblGrid>
      <w:tr>
        <w:trPr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编号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任务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具体操作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产出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验收标准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5.1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规模外推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80/120/150 业务各 60 场景（20 种子×3 LF），10 节点；对比 SCIP 60+60 s、qp_round、qp_diving、w/o Diff、本方案 m=0 与最优 m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results/scale_{80,120,150}.csv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报告 S、J、时间；qp_diving 时间按实际记录，含热启动优化版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5.2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真实拓扑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用 data/load_real_data.py 取 SNDlib 的 Abilene、GEANT、Germany50、Nobel-Germany 拓扑与容量；需求取 Abilene/GEANT 真实流量矩阵按 LF 缩放，其余拓扑按生成器规则生成需求；候选路径 K=5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data/real/*.json；results/real_topo.csv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未重新训练直接推理；报告与 qp_diving、SCIP 的差距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5.3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未见拓扑泛化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Topology Zoo 中 15 到 60 节点、带链路速率、连通的拓扑取 10 个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results/zoo_generalization.csv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可行率 100%；S Gap 相对 SCIP 60 s 认证解报告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5.4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时间剖析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单实例推理拆分：松弛求解、GNN 前向、allocator、其他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results/time_profile.csv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用于论文速度分析与审稿人质疑的回应</w:t>
            </w:r>
          </w:p>
        </w:tc>
      </w:tr>
    </w:tbl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sz w:val="28"/>
          <w:szCs w:val="28"/>
        </w:rPr>
        <w:t xml:space="preserve">六、阶段六：论文写作（第 7 到 8 周）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5500"/>
        <w:gridCol w:w="2000"/>
      </w:tblGrid>
      <w:tr>
        <w:trPr>
          <w:tblHeader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章节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内容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依赖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模型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词典序 S/J 模型；一句说明开题报告加权形式为同一问题的标量化变体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阶段一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方法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松弛状态图编码（特征表）、两级策略、模仿加强化、词典序奖励、重解频率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阶段二、2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实验设置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数据、基线、Gap 口径、种子与检验方法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阶段一、2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主结果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dev180 与 Test30：本方案对 SCIP、qp_round、qp_diving、三个旧编码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阶段三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消融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4.1 到 4.8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阶段四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规模与泛化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5.1 到 5.3，时间剖析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阶段五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讨论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与 neural diving 的关系、qp_diving 加速后的对比、局限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全部</w:t>
            </w:r>
          </w:p>
        </w:tc>
      </w:tr>
    </w:tbl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sz w:val="28"/>
          <w:szCs w:val="28"/>
        </w:rPr>
        <w:t xml:space="preserve">七、分工与节奏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200"/>
        <w:gridCol w:w="4200"/>
      </w:tblGrid>
      <w:tr>
        <w:trPr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周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方法与分析（A 角色）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数据与运行（B 角色，论文作者）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1.2、1.3、1.5 脚本与分析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1.1 数据交付；1.4 在本地跑 SCIP（需 SCIP 环境）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2.1 到 2.5 代码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2.6 联调运行并回传日志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3–4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3.1、3.2 脚本；分析 3.3、3.4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3.1 跑轨迹生成；3.5、3.6 训练（GPU 或多核）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3.x 配置与分析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3.x 运行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5.2、5.3 数据准备与分析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5.1、5.4 运行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7–8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方法、实验章节初稿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模型、引言、相关工作初稿；与导师对齐</w:t>
            </w:r>
          </w:p>
        </w:tc>
      </w:tr>
    </w:tbl>
    <w:p>
      <w:pPr>
        <w:spacing w:after="100" w:line="340"/>
        <w:jc w:val="both"/>
      </w:pPr>
      <w:r>
        <w:rPr>
          <w:rFonts w:ascii="Times New Roman" w:cs="Times New Roman" w:eastAsia="SimSun" w:hAnsi="Times New Roman"/>
          <w:sz w:val="21"/>
          <w:szCs w:val="21"/>
        </w:rPr>
        <w:t xml:space="preserve">角色说明：A 负责脚本、分析与方法章节写作，不在本地运行训练；B 负责数据、环境与全部训练运行。B 每次运行回传三样：命令、console 完整输出、结果 CSV。</w:t>
      </w:r>
    </w:p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sz w:val="28"/>
          <w:szCs w:val="28"/>
        </w:rPr>
        <w:t xml:space="preserve">八、风险与应对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3200"/>
      </w:tblGrid>
      <w:tr>
        <w:trPr>
          <w:tblHeader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风险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触发信号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应对</w:t>
            </w:r>
          </w:p>
        </w:tc>
      </w:tr>
      <w:t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m=0 质量明显低于 qp_diving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3.3 中 S Gap 高于 qp_round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允许 m&gt;0；论文主张改为"用更少的重解达到同等质量"，给帕累托曲线</w:t>
            </w:r>
          </w:p>
        </w:tc>
      </w:tr>
      <w:t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qp_diving 加速后时间优势消失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热启动版 qp_diving 在 150 业务小于 5 s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主张改为质量而非速度；强化阶段必须超过 qp_diving 的 J</w:t>
            </w:r>
          </w:p>
        </w:tc>
      </w:tr>
      <w:t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w/o Diff 五种子复跑与报告值不符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3.6 均值差大于 0.005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以五种子结果为准，论文不引用单种子数字</w:t>
            </w:r>
          </w:p>
        </w:tc>
      </w:tr>
      <w:t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SCIP 大规模认证率低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80 业务以上认证低于 50%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Gap 只在认证子集报告，其余报告相对 SCIP 限时解的差值并标明</w:t>
            </w:r>
          </w:p>
        </w:tc>
      </w:tr>
      <w:t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真实拓扑上候选路径不足 5 条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GEANT 等稀疏拓扑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按实际条数，和生成器规则一致</w:t>
            </w:r>
          </w:p>
        </w:tc>
      </w:tr>
    </w:tbl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sz w:val="28"/>
          <w:szCs w:val="28"/>
        </w:rPr>
        <w:t xml:space="preserve">九、立即要做的三件事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sz w:val="21"/>
          <w:szCs w:val="21"/>
        </w:rPr>
        <w:t xml:space="preserve">B 交付 1.1 的三组实例文件和 paired_scenarios.csv。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sz w:val="21"/>
          <w:szCs w:val="21"/>
        </w:rPr>
        <w:t xml:space="preserve">B 在本地确认 SCIP、Pyomo、PySCIPOpt 环境可用，跑一个实例的 benchmark_lexicographic.py 回传输出。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sz w:val="21"/>
          <w:szCs w:val="21"/>
        </w:rPr>
        <w:t xml:space="preserve">A 把 baselines.py 改成读取目录版本，并写 eval_solution.py 和配对脚本，数据到手当天出 1.5 的结论。</w:t>
      </w:r>
    </w:p>
    <w:sectPr>
      <w:pgSz w:w="11906" w:h="16838" w:orient="portrait"/>
      <w:pgMar w:top="1300" w:right="1400" w:bottom="13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2026-10-06T10:22:15.578Z</dcterms:created>
  <dcterms:modified xsi:type="dcterms:W3CDTF">2026-10-06T10:22:15.581Z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