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可执行版，2026-10-06。配套文档：《方案设计 v3》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目录，每次运行记录命令、种子和代码版本号。分工按两个角色写：A 为方法与分析，B 为数据与运行（论文作者）；一人承担两角色时按顺序执行。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一、阶段一：固定基线与口径（前置条件）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将 paired_scenarios.csv 的五组 RL 与 1.3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决策点一：若 qp_diving 在 dev180 上 S 与 J 均显著优于 w/o Diff，则进入阶段二，研究主线定为"用学习替代逐步重解"。若 w/o Diff 已不差于 qp_diving，则研究主线改为"松弛特征增强现有 RL"，后续任务不变，成立条件改为决策点三的第二组标准。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二、阶段二：松弛状态特征与接口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决策点二：2.2 与 2.3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三、阶段三：训练流程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 3.2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决策点三：按 3.5 与 3.6 配对检验。方案成立条件：在 dev180 上本方案 S、J 与 qp_diving 无显著差异（p 大于 0.05 且均值差小于 0.002），且显著优于 w/o Diff。任一不满足，先做阶段四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四、阶段四：消融与对照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五、阶段五：规模外推与真实拓扑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用于论文速度分析与公平性说明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六、阶段六：论文写作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阶段二、2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阶段一、2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阶段三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4.1 到 4.8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阶段四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 到 5.3，时间剖析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阶段五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七、分工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阶段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方法与分析（A 角色）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数据与运行（B 角色，论文作者）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一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1.2、1.3、1.5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1.1 数据交付；1.4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二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2.1 到 2.5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三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3.1、3.2 脚本；分析 3.3、3.4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3.1 跑轨迹生成；3.5、3.6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四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五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5.2、5.3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5.1、5.4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六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模型、引言、相关工作初稿；统一术语与口径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角色说明：A 负责脚本、分析与方法章节写作，不在本地运行训练；B 负责数据、环境与全部训练运行。B 每次运行回传三样：命令、console 完整输出、结果 CSV。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八、异常情况与处理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情况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处理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交付 1.1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B 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 把 baselines.py 改成读取目录版本，并写 eval_solution.py 和配对脚本，数据到手后出 1.5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2026-10-06T11:47:52.059Z</dcterms:created>
  <dcterms:modified xsi:type="dcterms:W3CDTF">2026-10-06T11:47:52.059Z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