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ICP 系統設定管理手冊</w:t>
      </w:r>
    </w:p>
    <w:p>
      <w:pPr>
        <w:pStyle w:val="Subtitle"/>
      </w:pPr>
      <w:r>
        <w:t>完整 appsettings 設定與部署檢查指南</w:t>
      </w:r>
    </w:p>
    <w:p>
      <w:r>
        <w:t>版本 1.0　更新日期 2026 年 9 月 12 日</w:t>
      </w:r>
    </w:p>
    <w:p>
      <w:r>
        <w:t>本手冊提供 ICP 管理與部署人員使用，逐節說明 appsettings.example.json 內的所有設定，以及資料庫、RabbitMQ、上傳路徑與共用資料夾的部署方式。範例不包含正式帳號、密碼、伺服器名稱或其他機密值。</w:t>
      </w:r>
    </w:p>
    <w:p>
      <w:pPr>
        <w:pStyle w:val="Heading1"/>
      </w:pPr>
      <w:r>
        <w:t>1 Configuration Files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672"/>
            <w:shd w:fill="1F4E78"/>
            <w:vAlign w:val="cente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952"/>
            <w:shd w:fill="1F4E78"/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t>appsettings.json</w:t>
            </w:r>
          </w:p>
        </w:tc>
        <w:tc>
          <w:tcPr>
            <w:tcW w:type="dxa" w:w="2952"/>
            <w:vAlign w:val="center"/>
          </w:tcPr>
          <w:p>
            <w:r>
              <w:t>系統共用預設值。</w:t>
            </w:r>
          </w:p>
        </w:tc>
        <w:tc>
          <w:tcPr>
            <w:tcW w:type="dxa" w:w="3456"/>
            <w:vAlign w:val="center"/>
          </w:tcPr>
          <w:p>
            <w:r>
              <w:t>只放所有環境都適用的設定；避免保存正式密碼。</w:t>
            </w:r>
          </w:p>
        </w:tc>
      </w:tr>
      <w:tr>
        <w:tc>
          <w:tcPr>
            <w:tcW w:type="dxa" w:w="3672"/>
            <w:vAlign w:val="center"/>
            <w:shd w:fill="F3F6F9"/>
          </w:tcPr>
          <w:p>
            <w:r>
              <w:t>appsettings.Development.json</w:t>
            </w:r>
          </w:p>
        </w:tc>
        <w:tc>
          <w:tcPr>
            <w:tcW w:type="dxa" w:w="2952"/>
            <w:vAlign w:val="center"/>
            <w:shd w:fill="F3F6F9"/>
          </w:tcPr>
          <w:p>
            <w:r>
              <w:t>Development 環境覆寫。</w:t>
            </w:r>
          </w:p>
        </w:tc>
        <w:tc>
          <w:tcPr>
            <w:tcW w:type="dxa" w:w="3456"/>
            <w:vAlign w:val="center"/>
            <w:shd w:fill="F3F6F9"/>
          </w:tcPr>
          <w:p>
            <w:r>
              <w:t>只覆寫開發環境需要不同的欄位。</w:t>
            </w:r>
          </w:p>
        </w:tc>
      </w:tr>
      <w:tr>
        <w:tc>
          <w:tcPr>
            <w:tcW w:type="dxa" w:w="3672"/>
            <w:vAlign w:val="center"/>
          </w:tcPr>
          <w:p>
            <w:r>
              <w:t>appsettings.TEL.json</w:t>
            </w:r>
          </w:p>
        </w:tc>
        <w:tc>
          <w:tcPr>
            <w:tcW w:type="dxa" w:w="2952"/>
            <w:vAlign w:val="center"/>
          </w:tcPr>
          <w:p>
            <w:r>
              <w:t>TEL 部署環境設定。</w:t>
            </w:r>
          </w:p>
        </w:tc>
        <w:tc>
          <w:tcPr>
            <w:tcW w:type="dxa" w:w="3456"/>
            <w:vAlign w:val="center"/>
          </w:tcPr>
          <w:p>
            <w:r>
              <w:t>由部署流程保護，不要提交真實密碼。</w:t>
            </w:r>
          </w:p>
        </w:tc>
      </w:tr>
      <w:tr>
        <w:tc>
          <w:tcPr>
            <w:tcW w:type="dxa" w:w="3672"/>
            <w:vAlign w:val="center"/>
            <w:shd w:fill="F3F6F9"/>
          </w:tcPr>
          <w:p>
            <w:r>
              <w:t>appsettings.TEL.&lt;Machine&gt;.json</w:t>
            </w:r>
          </w:p>
        </w:tc>
        <w:tc>
          <w:tcPr>
            <w:tcW w:type="dxa" w:w="2952"/>
            <w:vAlign w:val="center"/>
            <w:shd w:fill="F3F6F9"/>
          </w:tcPr>
          <w:p>
            <w:r>
              <w:t>特定主機覆寫。</w:t>
            </w:r>
          </w:p>
        </w:tc>
        <w:tc>
          <w:tcPr>
            <w:tcW w:type="dxa" w:w="3456"/>
            <w:vAlign w:val="center"/>
            <w:shd w:fill="F3F6F9"/>
          </w:tcPr>
          <w:p>
            <w:r>
              <w:t>僅放該主機需要不同的值。</w:t>
            </w:r>
          </w:p>
        </w:tc>
      </w:tr>
      <w:tr>
        <w:tc>
          <w:tcPr>
            <w:tcW w:type="dxa" w:w="3672"/>
            <w:vAlign w:val="center"/>
          </w:tcPr>
          <w:p>
            <w:r>
              <w:t>appsettings.example.json</w:t>
            </w:r>
          </w:p>
        </w:tc>
        <w:tc>
          <w:tcPr>
            <w:tcW w:type="dxa" w:w="2952"/>
            <w:vAlign w:val="center"/>
          </w:tcPr>
          <w:p>
            <w:r>
              <w:t>可提交的設定範本。</w:t>
            </w:r>
          </w:p>
        </w:tc>
        <w:tc>
          <w:tcPr>
            <w:tcW w:type="dxa" w:w="3456"/>
            <w:vAlign w:val="center"/>
          </w:tcPr>
          <w:p>
            <w:r>
              <w:t>新增設定欄位時同步更新並使用假值。</w:t>
            </w:r>
          </w:p>
        </w:tc>
      </w:tr>
    </w:tbl>
    <w:p/>
    <w:p>
      <w:r>
        <w:t>ASP.NET Core 會依環境與設定來源覆寫同名欄位。實際生效值取決於啟動環境、檔案載入順序、環境變數及部署平台設定。</w:t>
      </w:r>
    </w:p>
    <w:p>
      <w:pPr>
        <w:pStyle w:val="Heading1"/>
      </w:pPr>
      <w:r>
        <w:t>2 App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024"/>
            <w:shd w:fill="1F4E78"/>
            <w:vAlign w:val="center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4464"/>
            <w:shd w:fill="1F4E78"/>
            <w:vAlign w:val="cente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</w:rPr>
              <w:t>Operational note</w:t>
            </w:r>
          </w:p>
        </w:tc>
      </w:tr>
      <w:tr>
        <w:tc>
          <w:tcPr>
            <w:tcW w:type="dxa" w:w="3024"/>
            <w:vAlign w:val="center"/>
          </w:tcPr>
          <w:p>
            <w:r>
              <w:t>BrandName</w:t>
            </w:r>
          </w:p>
        </w:tc>
        <w:tc>
          <w:tcPr>
            <w:tcW w:type="dxa" w:w="4464"/>
            <w:vAlign w:val="center"/>
          </w:tcPr>
          <w:p>
            <w:r>
              <w:t>網站品牌名稱。</w:t>
            </w:r>
          </w:p>
        </w:tc>
        <w:tc>
          <w:tcPr>
            <w:tcW w:type="dxa" w:w="2880"/>
            <w:vAlign w:val="center"/>
          </w:tcPr>
          <w:p>
            <w:r>
              <w:t>修改後檢查頁首與登入頁。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t>TitleSuffix</w:t>
            </w:r>
          </w:p>
        </w:tc>
        <w:tc>
          <w:tcPr>
            <w:tcW w:type="dxa" w:w="4464"/>
            <w:vAlign w:val="center"/>
            <w:shd w:fill="F3F6F9"/>
          </w:tcPr>
          <w:p>
            <w:r>
              <w:t>瀏覽器標題後綴。</w:t>
            </w:r>
          </w:p>
        </w:tc>
        <w:tc>
          <w:tcPr>
            <w:tcW w:type="dxa" w:w="2880"/>
            <w:vAlign w:val="center"/>
            <w:shd w:fill="F3F6F9"/>
          </w:tcPr>
          <w:p>
            <w:r>
              <w:t>修改後重新整理頁面。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Mode</w:t>
            </w:r>
          </w:p>
        </w:tc>
        <w:tc>
          <w:tcPr>
            <w:tcW w:type="dxa" w:w="4464"/>
            <w:vAlign w:val="center"/>
          </w:tcPr>
          <w:p>
            <w:r>
              <w:t>驗證模式，例如 PRD 或 DEV。</w:t>
            </w:r>
          </w:p>
        </w:tc>
        <w:tc>
          <w:tcPr>
            <w:tcW w:type="dxa" w:w="2880"/>
            <w:vAlign w:val="center"/>
          </w:tcPr>
          <w:p>
            <w:r>
              <w:t>正式環境必須使用核准模式。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t>SimulatedWindowsIdentity</w:t>
            </w:r>
          </w:p>
        </w:tc>
        <w:tc>
          <w:tcPr>
            <w:tcW w:type="dxa" w:w="4464"/>
            <w:vAlign w:val="center"/>
            <w:shd w:fill="F3F6F9"/>
          </w:tcPr>
          <w:p>
            <w:r>
              <w:t>本機模擬 Windows 身分。</w:t>
            </w:r>
          </w:p>
        </w:tc>
        <w:tc>
          <w:tcPr>
            <w:tcW w:type="dxa" w:w="2880"/>
            <w:vAlign w:val="center"/>
            <w:shd w:fill="F3F6F9"/>
          </w:tcPr>
          <w:p>
            <w:r>
              <w:t>只可用於受控開發環境。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SuperUser</w:t>
            </w:r>
          </w:p>
        </w:tc>
        <w:tc>
          <w:tcPr>
            <w:tcW w:type="dxa" w:w="4464"/>
            <w:vAlign w:val="center"/>
          </w:tcPr>
          <w:p>
            <w:r>
              <w:t>是否允許切換其他使用者。</w:t>
            </w:r>
          </w:p>
        </w:tc>
        <w:tc>
          <w:tcPr>
            <w:tcW w:type="dxa" w:w="2880"/>
            <w:vAlign w:val="center"/>
          </w:tcPr>
          <w:p>
            <w:r>
              <w:t>正式環境必須保持 Off，除非經正式核准。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t>DevUser</w:t>
            </w:r>
          </w:p>
        </w:tc>
        <w:tc>
          <w:tcPr>
            <w:tcW w:type="dxa" w:w="4464"/>
            <w:vAlign w:val="center"/>
            <w:shd w:fill="F3F6F9"/>
          </w:tcPr>
          <w:p>
            <w:r>
              <w:t>DEV 模式的模擬使用者資訊。</w:t>
            </w:r>
          </w:p>
        </w:tc>
        <w:tc>
          <w:tcPr>
            <w:tcW w:type="dxa" w:w="2880"/>
            <w:vAlign w:val="center"/>
            <w:shd w:fill="F3F6F9"/>
          </w:tcPr>
          <w:p>
            <w:r>
              <w:t>不得使用真實個資作為可提交範例。</w:t>
            </w:r>
          </w:p>
        </w:tc>
      </w:tr>
    </w:tbl>
    <w:p/>
    <w:p>
      <w:pPr>
        <w:pStyle w:val="Heading1"/>
      </w:pPr>
      <w:r>
        <w:t>3 Sidebar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4320"/>
            <w:shd w:fill="1F4E78"/>
            <w:vAlign w:val="cente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</w:rPr>
              <w:t>Allowed or example</w:t>
            </w:r>
          </w:p>
        </w:tc>
      </w:tr>
      <w:tr>
        <w:tc>
          <w:tcPr>
            <w:tcW w:type="dxa" w:w="2880"/>
            <w:vAlign w:val="center"/>
          </w:tcPr>
          <w:p>
            <w:r>
              <w:t>RecentLimit</w:t>
            </w:r>
          </w:p>
        </w:tc>
        <w:tc>
          <w:tcPr>
            <w:tcW w:type="dxa" w:w="4320"/>
            <w:vAlign w:val="center"/>
          </w:tcPr>
          <w:p>
            <w:r>
              <w:t>Recent 顯示筆數。</w:t>
            </w:r>
          </w:p>
        </w:tc>
        <w:tc>
          <w:tcPr>
            <w:tcW w:type="dxa" w:w="3168"/>
            <w:vAlign w:val="center"/>
          </w:tcPr>
          <w:p>
            <w:r>
              <w:t>0 到 50。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>
              <w:t>RecentEnabled</w:t>
            </w:r>
          </w:p>
        </w:tc>
        <w:tc>
          <w:tcPr>
            <w:tcW w:type="dxa" w:w="4320"/>
            <w:vAlign w:val="center"/>
            <w:shd w:fill="F3F6F9"/>
          </w:tcPr>
          <w:p>
            <w:r>
              <w:t>是否顯示 Recent。</w:t>
            </w:r>
          </w:p>
        </w:tc>
        <w:tc>
          <w:tcPr>
            <w:tcW w:type="dxa" w:w="3168"/>
            <w:vAlign w:val="center"/>
            <w:shd w:fill="F3F6F9"/>
          </w:tcPr>
          <w:p>
            <w:r>
              <w:t>true / false。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PinnedLimit</w:t>
            </w:r>
          </w:p>
        </w:tc>
        <w:tc>
          <w:tcPr>
            <w:tcW w:type="dxa" w:w="4320"/>
            <w:vAlign w:val="center"/>
          </w:tcPr>
          <w:p>
            <w:r>
              <w:t>Pinned 可保存筆數。</w:t>
            </w:r>
          </w:p>
        </w:tc>
        <w:tc>
          <w:tcPr>
            <w:tcW w:type="dxa" w:w="3168"/>
            <w:vAlign w:val="center"/>
          </w:tcPr>
          <w:p>
            <w:r>
              <w:t>0 到 20。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>
              <w:t>DefaultPage</w:t>
            </w:r>
          </w:p>
        </w:tc>
        <w:tc>
          <w:tcPr>
            <w:tcW w:type="dxa" w:w="4320"/>
            <w:vAlign w:val="center"/>
            <w:shd w:fill="F3F6F9"/>
          </w:tcPr>
          <w:p>
            <w:r>
              <w:t>登入後預設 Controller。</w:t>
            </w:r>
          </w:p>
        </w:tc>
        <w:tc>
          <w:tcPr>
            <w:tcW w:type="dxa" w:w="3168"/>
            <w:vAlign w:val="center"/>
            <w:shd w:fill="F3F6F9"/>
          </w:tcPr>
          <w:p>
            <w:r>
              <w:t>例如 ShipInfo；必須是允許的 ICP 頁面。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MenuOrder</w:t>
            </w:r>
          </w:p>
        </w:tc>
        <w:tc>
          <w:tcPr>
            <w:tcW w:type="dxa" w:w="4320"/>
            <w:vAlign w:val="center"/>
          </w:tcPr>
          <w:p>
            <w:r>
              <w:t>各選單頁的排序權重。</w:t>
            </w:r>
          </w:p>
        </w:tc>
        <w:tc>
          <w:tcPr>
            <w:tcW w:type="dxa" w:w="3168"/>
            <w:vAlign w:val="center"/>
          </w:tcPr>
          <w:p>
            <w:r>
              <w:t>較小值排在前面，範圍 -10000 到 10000。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>
              <w:t>CustomLinks</w:t>
            </w:r>
          </w:p>
        </w:tc>
        <w:tc>
          <w:tcPr>
            <w:tcW w:type="dxa" w:w="4320"/>
            <w:vAlign w:val="center"/>
            <w:shd w:fill="F3F6F9"/>
          </w:tcPr>
          <w:p>
            <w:r>
              <w:t>Links 區塊的自訂連結。</w:t>
            </w:r>
          </w:p>
        </w:tc>
        <w:tc>
          <w:tcPr>
            <w:tcW w:type="dxa" w:w="3168"/>
            <w:vAlign w:val="center"/>
            <w:shd w:fill="F3F6F9"/>
          </w:tcPr>
          <w:p>
            <w:r>
              <w:t>支援 / 開頭站內路徑或 http / https 網址。</w:t>
            </w:r>
          </w:p>
        </w:tc>
      </w:tr>
    </w:tbl>
    <w:p/>
    <w:p>
      <w:pPr>
        <w:pStyle w:val="Heading2"/>
      </w:pPr>
      <w:r>
        <w:t>3.1 CustomLinks fields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3024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344"/>
            <w:shd w:fill="1F4E78"/>
            <w:vAlign w:val="cente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24"/>
            <w:vAlign w:val="center"/>
          </w:tcPr>
          <w:p>
            <w:r>
              <w:t>Name</w:t>
            </w:r>
          </w:p>
        </w:tc>
        <w:tc>
          <w:tcPr>
            <w:tcW w:type="dxa" w:w="7344"/>
            <w:vAlign w:val="center"/>
          </w:tcPr>
          <w:p>
            <w:r>
              <w:t>側邊選單顯示名稱；啟用的名稱不可重複。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t>Url</w:t>
            </w:r>
          </w:p>
        </w:tc>
        <w:tc>
          <w:tcPr>
            <w:tcW w:type="dxa" w:w="7344"/>
            <w:vAlign w:val="center"/>
            <w:shd w:fill="F3F6F9"/>
          </w:tcPr>
          <w:p>
            <w:r>
              <w:t>站內根相對路徑或完整 http / https URL；啟用的 URL 不可重複。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OpenInNewTab</w:t>
            </w:r>
          </w:p>
        </w:tc>
        <w:tc>
          <w:tcPr>
            <w:tcW w:type="dxa" w:w="7344"/>
            <w:vAlign w:val="center"/>
          </w:tcPr>
          <w:p>
            <w:r>
              <w:t>true 時以新分頁開啟。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t>Enabled</w:t>
            </w:r>
          </w:p>
        </w:tc>
        <w:tc>
          <w:tcPr>
            <w:tcW w:type="dxa" w:w="7344"/>
            <w:vAlign w:val="center"/>
            <w:shd w:fill="F3F6F9"/>
          </w:tcPr>
          <w:p>
            <w:r>
              <w:t>false 時不顯示連結。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SortOrder</w:t>
            </w:r>
          </w:p>
        </w:tc>
        <w:tc>
          <w:tcPr>
            <w:tcW w:type="dxa" w:w="7344"/>
            <w:vAlign w:val="center"/>
          </w:tcPr>
          <w:p>
            <w:r>
              <w:t>Links 內的排序值，較小值在前。</w:t>
            </w:r>
          </w:p>
        </w:tc>
      </w:tr>
    </w:tbl>
    <w:p/>
    <w:p>
      <w:r>
        <w:t>文件連結範例：Name = ICP Configuration Guide，Url = /docs/ICP-Configuration-Guide.docx。</w:t>
      </w:r>
    </w:p>
    <w:p>
      <w:pPr>
        <w:pStyle w:val="Heading1"/>
      </w:pPr>
      <w:r>
        <w:t>4 ConnectionStrings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024"/>
            <w:shd w:fill="1F4E78"/>
            <w:vAlign w:val="center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5328"/>
            <w:shd w:fill="1F4E78"/>
            <w:vAlign w:val="center"/>
          </w:tcPr>
          <w:p>
            <w:r>
              <w:rPr>
                <w:b/>
                <w:color w:val="FFFFFF"/>
              </w:rPr>
              <w:t>Database purpose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Required</w:t>
            </w:r>
          </w:p>
        </w:tc>
      </w:tr>
      <w:tr>
        <w:tc>
          <w:tcPr>
            <w:tcW w:type="dxa" w:w="3024"/>
            <w:vAlign w:val="center"/>
          </w:tcPr>
          <w:p>
            <w:r>
              <w:t>ILC_Connection</w:t>
            </w:r>
          </w:p>
        </w:tc>
        <w:tc>
          <w:tcPr>
            <w:tcW w:type="dxa" w:w="5328"/>
            <w:vAlign w:val="center"/>
          </w:tcPr>
          <w:p>
            <w:r>
              <w:t>使用者、部門與組織資料。</w:t>
            </w:r>
          </w:p>
        </w:tc>
        <w:tc>
          <w:tcPr>
            <w:tcW w:type="dxa" w:w="2016"/>
            <w:vAlign w:val="center"/>
          </w:tcPr>
          <w:p>
            <w:r>
              <w:t>是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t>ICP_Connection</w:t>
            </w:r>
          </w:p>
        </w:tc>
        <w:tc>
          <w:tcPr>
            <w:tcW w:type="dxa" w:w="5328"/>
            <w:vAlign w:val="center"/>
            <w:shd w:fill="F3F6F9"/>
          </w:tcPr>
          <w:p>
            <w:r>
              <w:t>ICP 業務資料、設定與權限資料。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r>
              <w:t>FIESTA_Connection</w:t>
            </w:r>
          </w:p>
        </w:tc>
        <w:tc>
          <w:tcPr>
            <w:tcW w:type="dxa" w:w="5328"/>
            <w:vAlign w:val="center"/>
          </w:tcPr>
          <w:p>
            <w:r>
              <w:t>FIESTA 或郵件群組整合資料。</w:t>
            </w:r>
          </w:p>
        </w:tc>
        <w:tc>
          <w:tcPr>
            <w:tcW w:type="dxa" w:w="2016"/>
            <w:vAlign w:val="center"/>
          </w:tcPr>
          <w:p>
            <w:r>
              <w:t>使用相關功能時</w:t>
            </w:r>
          </w:p>
        </w:tc>
      </w:tr>
    </w:tbl>
    <w:p/>
    <w:p>
      <w:pPr>
        <w:pStyle w:val="Heading2"/>
      </w:pPr>
      <w:r>
        <w:t>4.1 Connection string example</w:t>
      </w:r>
    </w:p>
    <w:p>
      <w:r>
        <w:t>下列只示範格式；請由 Secret、環境變數或受保護的主機設定提供真實值。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>"ConnectionStrings": {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 xml:space="preserve">  "ICP_Connection": "Server=&lt;DB_SERVER&gt;;Database=&lt;DB_NAME&gt;;User Id=&lt;SERVICE_ACCOUNT&gt;;Password=&lt;SECRET&gt;;Encrypt=True;TrustServerCertificate=False;MultipleActiveResultSets=True"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>}</w:t>
      </w:r>
    </w:p>
    <w:p>
      <w:pPr>
        <w:pStyle w:val="ListBullet"/>
      </w:pPr>
      <w:r>
        <w:t>不要將正式帳號、密碼或完整連線字串提交到 Git。</w:t>
      </w:r>
    </w:p>
    <w:p>
      <w:pPr>
        <w:pStyle w:val="ListBullet"/>
      </w:pPr>
      <w:r>
        <w:t>優先使用部署平台 Secret、環境變數或受保護的主機設定檔。</w:t>
      </w:r>
    </w:p>
    <w:p>
      <w:pPr>
        <w:pStyle w:val="ListBullet"/>
      </w:pPr>
      <w:r>
        <w:t>修改後需重新啟動服務，並測試登入、清單查詢及資料庫寫入。</w:t>
      </w:r>
    </w:p>
    <w:p>
      <w:pPr>
        <w:pStyle w:val="ListBullet"/>
      </w:pPr>
      <w:r>
        <w:t>正式環境應啟用加密連線並依組織政策設定憑證驗證。</w:t>
      </w:r>
    </w:p>
    <w:p>
      <w:pPr>
        <w:pStyle w:val="Heading2"/>
      </w:pPr>
      <w:r>
        <w:t>4.2 Database validation and troubleshooting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7200"/>
            <w:shd w:fill="1F4E78"/>
            <w:vAlign w:val="center"/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168"/>
            <w:vAlign w:val="center"/>
          </w:tcPr>
          <w:p>
            <w:r>
              <w:t>Login failed</w:t>
            </w:r>
          </w:p>
        </w:tc>
        <w:tc>
          <w:tcPr>
            <w:tcW w:type="dxa" w:w="7200"/>
            <w:vAlign w:val="center"/>
          </w:tcPr>
          <w:p>
            <w:r>
              <w:t>帳號、密碼、驗證模式、資料庫使用者 mapping 與最小必要權限。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r>
              <w:t>Server not found or timeout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t>DNS、Port、Firewall、SQL Server instance 與網路路由。</w:t>
            </w:r>
          </w:p>
        </w:tc>
      </w:tr>
      <w:tr>
        <w:tc>
          <w:tcPr>
            <w:tcW w:type="dxa" w:w="3168"/>
            <w:vAlign w:val="center"/>
          </w:tcPr>
          <w:p>
            <w:r>
              <w:t>Certificate error</w:t>
            </w:r>
          </w:p>
        </w:tc>
        <w:tc>
          <w:tcPr>
            <w:tcW w:type="dxa" w:w="7200"/>
            <w:vAlign w:val="center"/>
          </w:tcPr>
          <w:p>
            <w:r>
              <w:t>Encrypt、TrustServerCertificate 與伺服器憑證鏈。正式環境不要用略過驗證作為長期修正。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r>
              <w:t>Only one function fails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t>確認該功能使用的是 ILC、ICP 或 FIESTA 哪一條連線。</w:t>
            </w:r>
          </w:p>
        </w:tc>
      </w:tr>
    </w:tbl>
    <w:p/>
    <w:p>
      <w:pPr>
        <w:pStyle w:val="Heading1"/>
      </w:pPr>
      <w:r>
        <w:t>5 Upload Paths and Shared Folders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024"/>
            <w:shd w:fill="1F4E78"/>
            <w:vAlign w:val="cente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4464"/>
            <w:shd w:fill="1F4E78"/>
            <w:vAlign w:val="cente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24"/>
            <w:vAlign w:val="center"/>
          </w:tcPr>
          <w:p>
            <w:r>
              <w:t>ForwarderDataUpload</w:t>
            </w:r>
          </w:p>
        </w:tc>
        <w:tc>
          <w:tcPr>
            <w:tcW w:type="dxa" w:w="2880"/>
            <w:vAlign w:val="center"/>
          </w:tcPr>
          <w:p>
            <w:r>
              <w:t>StoragePath</w:t>
            </w:r>
          </w:p>
        </w:tc>
        <w:tc>
          <w:tcPr>
            <w:tcW w:type="dxa" w:w="4464"/>
            <w:vAlign w:val="center"/>
          </w:tcPr>
          <w:p>
            <w:r>
              <w:t>貨代上傳檔案的保存位置。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t>ForwarderDataUpload</w:t>
            </w:r>
          </w:p>
        </w:tc>
        <w:tc>
          <w:tcPr>
            <w:tcW w:type="dxa" w:w="2880"/>
            <w:vAlign w:val="center"/>
            <w:shd w:fill="F3F6F9"/>
          </w:tcPr>
          <w:p>
            <w:r>
              <w:t>MaxSizeMb</w:t>
            </w:r>
          </w:p>
        </w:tc>
        <w:tc>
          <w:tcPr>
            <w:tcW w:type="dxa" w:w="4464"/>
            <w:vAlign w:val="center"/>
            <w:shd w:fill="F3F6F9"/>
          </w:tcPr>
          <w:p>
            <w:r>
              <w:t>單一上傳檔案大小上限。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TariffData</w:t>
            </w:r>
          </w:p>
        </w:tc>
        <w:tc>
          <w:tcPr>
            <w:tcW w:type="dxa" w:w="2880"/>
            <w:vAlign w:val="center"/>
          </w:tcPr>
          <w:p>
            <w:r>
              <w:t>StoragePath</w:t>
            </w:r>
          </w:p>
        </w:tc>
        <w:tc>
          <w:tcPr>
            <w:tcW w:type="dxa" w:w="4464"/>
            <w:vAlign w:val="center"/>
          </w:tcPr>
          <w:p>
            <w:r>
              <w:t>Tariff Data 檔案保存位置。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t>TariffData</w:t>
            </w:r>
          </w:p>
        </w:tc>
        <w:tc>
          <w:tcPr>
            <w:tcW w:type="dxa" w:w="2880"/>
            <w:vAlign w:val="center"/>
            <w:shd w:fill="F3F6F9"/>
          </w:tcPr>
          <w:p>
            <w:r>
              <w:t>MaxSizeMb</w:t>
            </w:r>
          </w:p>
        </w:tc>
        <w:tc>
          <w:tcPr>
            <w:tcW w:type="dxa" w:w="4464"/>
            <w:vAlign w:val="center"/>
            <w:shd w:fill="F3F6F9"/>
          </w:tcPr>
          <w:p>
            <w:r>
              <w:t>Tariff Data 上傳大小上限。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TariffData</w:t>
            </w:r>
          </w:p>
        </w:tc>
        <w:tc>
          <w:tcPr>
            <w:tcW w:type="dxa" w:w="2880"/>
            <w:vAlign w:val="center"/>
          </w:tcPr>
          <w:p>
            <w:r>
              <w:t>BrokerKeywords</w:t>
            </w:r>
          </w:p>
        </w:tc>
        <w:tc>
          <w:tcPr>
            <w:tcW w:type="dxa" w:w="4464"/>
            <w:vAlign w:val="center"/>
          </w:tcPr>
          <w:p>
            <w:r>
              <w:t>檔名或內容辨識 Broker 的關鍵字對應。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t>ArurAttachment</w:t>
            </w:r>
          </w:p>
        </w:tc>
        <w:tc>
          <w:tcPr>
            <w:tcW w:type="dxa" w:w="2880"/>
            <w:vAlign w:val="center"/>
            <w:shd w:fill="F3F6F9"/>
          </w:tcPr>
          <w:p>
            <w:r>
              <w:t>IpcStorageRoot</w:t>
            </w:r>
          </w:p>
        </w:tc>
        <w:tc>
          <w:tcPr>
            <w:tcW w:type="dxa" w:w="4464"/>
            <w:vAlign w:val="center"/>
            <w:shd w:fill="F3F6F9"/>
          </w:tcPr>
          <w:p>
            <w:r>
              <w:t>ARUR 附件根目錄。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ArurAttachment</w:t>
            </w:r>
          </w:p>
        </w:tc>
        <w:tc>
          <w:tcPr>
            <w:tcW w:type="dxa" w:w="2880"/>
            <w:vAlign w:val="center"/>
          </w:tcPr>
          <w:p>
            <w:r>
              <w:t>RelativeFolder</w:t>
            </w:r>
          </w:p>
        </w:tc>
        <w:tc>
          <w:tcPr>
            <w:tcW w:type="dxa" w:w="4464"/>
            <w:vAlign w:val="center"/>
          </w:tcPr>
          <w:p>
            <w:r>
              <w:t>根目錄下的相對資料夾。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t>ArurAttachment</w:t>
            </w:r>
          </w:p>
        </w:tc>
        <w:tc>
          <w:tcPr>
            <w:tcW w:type="dxa" w:w="2880"/>
            <w:vAlign w:val="center"/>
            <w:shd w:fill="F3F6F9"/>
          </w:tcPr>
          <w:p>
            <w:r>
              <w:t>MaxSizeMb</w:t>
            </w:r>
          </w:p>
        </w:tc>
        <w:tc>
          <w:tcPr>
            <w:tcW w:type="dxa" w:w="4464"/>
            <w:vAlign w:val="center"/>
            <w:shd w:fill="F3F6F9"/>
          </w:tcPr>
          <w:p>
            <w:r>
              <w:t>附件大小上限。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ArurAttachment</w:t>
            </w:r>
          </w:p>
        </w:tc>
        <w:tc>
          <w:tcPr>
            <w:tcW w:type="dxa" w:w="2880"/>
            <w:vAlign w:val="center"/>
          </w:tcPr>
          <w:p>
            <w:r>
              <w:t>AllowedExtensions</w:t>
            </w:r>
          </w:p>
        </w:tc>
        <w:tc>
          <w:tcPr>
            <w:tcW w:type="dxa" w:w="4464"/>
            <w:vAlign w:val="center"/>
          </w:tcPr>
          <w:p>
            <w:r>
              <w:t>允許的副檔名白名單。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r>
              <w:t>Integration.Export</w:t>
            </w:r>
          </w:p>
        </w:tc>
        <w:tc>
          <w:tcPr>
            <w:tcW w:type="dxa" w:w="2880"/>
            <w:vAlign w:val="center"/>
            <w:shd w:fill="F3F6F9"/>
          </w:tcPr>
          <w:p>
            <w:r>
              <w:t>OutputDirectory</w:t>
            </w:r>
          </w:p>
        </w:tc>
        <w:tc>
          <w:tcPr>
            <w:tcW w:type="dxa" w:w="4464"/>
            <w:vAlign w:val="center"/>
            <w:shd w:fill="F3F6F9"/>
          </w:tcPr>
          <w:p>
            <w:r>
              <w:t>ICP 與 FileGenerator 共用的輸出根目錄。</w:t>
            </w:r>
          </w:p>
        </w:tc>
      </w:tr>
    </w:tbl>
    <w:p/>
    <w:p>
      <w:pPr>
        <w:pStyle w:val="Heading2"/>
      </w:pPr>
      <w:r>
        <w:t>5.1 Path examples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>"ForwarderDataUpload": { "StoragePath": "D:\\ICPData\\Forwarder", "MaxSizeMb": 50 },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>"TariffData": { "StoragePath": "\\\\FILESERVER\\ICP\\Tariff", "MaxSizeMb": 50 },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>"ArurAttachment": {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 xml:space="preserve">  "IpcStorageRoot": "\\\\FILESERVER\\ICP",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 xml:space="preserve">  "RelativeFolder": "ATTACHED_FILE",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 xml:space="preserve">  "MaxSizeMb": 50,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 xml:space="preserve">  "AllowedExtensions": [".pdf", ".xlsx", ".zip"]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>},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>"Integration": { "Export": { "OutputDirectory": "\\\\FILESERVER\\ICP\\Export" } }</w:t>
      </w:r>
    </w:p>
    <w:p>
      <w:r>
        <w:t>相對路徑會以應用程式 ContentRoot 為基準；正式環境或多台主機共用檔案時，建議使用 UNC 路徑。Windows Service 或 IIS App Pool 不應依賴登入使用者的 mapped drive，例如 Z:。</w:t>
      </w:r>
    </w:p>
    <w:p>
      <w:pPr>
        <w:pStyle w:val="Heading2"/>
      </w:pPr>
      <w:r>
        <w:t>5.2 Folder permissions</w:t>
      </w:r>
    </w:p>
    <w:p>
      <w:pPr>
        <w:pStyle w:val="ListBullet"/>
      </w:pPr>
      <w:r>
        <w:t>以實際執行 ICP 的 Windows Service 或 IIS Application Pool 身分授權。</w:t>
      </w:r>
    </w:p>
    <w:p>
      <w:pPr>
        <w:pStyle w:val="ListBullet"/>
      </w:pPr>
      <w:r>
        <w:t>UNC 目錄必須同時具有 Share permission 與 NTFS permission；一般上傳與輸出需要 Read、Write、Modify。</w:t>
      </w:r>
    </w:p>
    <w:p>
      <w:pPr>
        <w:pStyle w:val="ListBullet"/>
      </w:pPr>
      <w:r>
        <w:t>只授予所需資料夾與權限，不要使用 Everyone Full Control。</w:t>
      </w:r>
    </w:p>
    <w:p>
      <w:pPr>
        <w:pStyle w:val="ListBullet"/>
      </w:pPr>
      <w:r>
        <w:t>IpcStorageRoot 與 RelativeFolder 組合後會再依 Invoice No 建立子目錄；根目錄必須存在且可存取。</w:t>
      </w:r>
    </w:p>
    <w:p>
      <w:pPr>
        <w:pStyle w:val="Heading2"/>
      </w:pPr>
      <w:r>
        <w:t>5.3 Upload path validation</w:t>
      </w:r>
    </w:p>
    <w:p>
      <w:pPr>
        <w:pStyle w:val="ListNumber"/>
      </w:pPr>
      <w:r>
        <w:t>使用應用程式實際服務身分建立、讀取並刪除測試檔案。</w:t>
      </w:r>
    </w:p>
    <w:p>
      <w:pPr>
        <w:pStyle w:val="ListNumber"/>
      </w:pPr>
      <w:r>
        <w:t>測試 Forwarder Data Upload、Tariff Data 上傳，以及 Ship Info 附件上傳與下載。</w:t>
      </w:r>
    </w:p>
    <w:p>
      <w:pPr>
        <w:pStyle w:val="ListNumber"/>
      </w:pPr>
      <w:r>
        <w:t>確認 Integration.Export.OutputDirectory 與 FileGenerator 的 OutputDirectory 指向同一個實體目錄。</w:t>
      </w:r>
    </w:p>
    <w:p>
      <w:pPr>
        <w:pStyle w:val="ListNumber"/>
      </w:pPr>
      <w:r>
        <w:t>檢查 Access denied、Path not found、檔案鎖定、防毒隔離與磁碟空間錯誤。</w:t>
      </w:r>
    </w:p>
    <w:p>
      <w:pPr>
        <w:pStyle w:val="ListNumber"/>
      </w:pPr>
      <w:r>
        <w:t>調整 MaxSizeMb 時，同步檢查 IIS、反向代理與應用程式的 Request Size 限制。</w:t>
      </w:r>
    </w:p>
    <w:p>
      <w:pPr>
        <w:pStyle w:val="Heading1"/>
      </w:pPr>
      <w:r>
        <w:t>6 Localization and Table Fields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4320"/>
            <w:shd w:fill="1F4E78"/>
            <w:vAlign w:val="cente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6048"/>
            <w:shd w:fill="1F4E78"/>
            <w:vAlign w:val="cente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  <w:vAlign w:val="center"/>
          </w:tcPr>
          <w:p>
            <w:r>
              <w:t>LocalizationManagement.Enabled</w:t>
            </w:r>
          </w:p>
        </w:tc>
        <w:tc>
          <w:tcPr>
            <w:tcW w:type="dxa" w:w="6048"/>
            <w:vAlign w:val="center"/>
          </w:tcPr>
          <w:p>
            <w:r>
              <w:t>控制 Languages 管理功能是否啟用。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>
              <w:t>ShipInfoProDataTableFields</w:t>
            </w:r>
          </w:p>
        </w:tc>
        <w:tc>
          <w:tcPr>
            <w:tcW w:type="dxa" w:w="6048"/>
            <w:vAlign w:val="center"/>
            <w:shd w:fill="F3F6F9"/>
          </w:tcPr>
          <w:p>
            <w:r>
              <w:t>Ship Info 及相關報表顯示欄位設定。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ForwarderTableFields</w:t>
            </w:r>
          </w:p>
        </w:tc>
        <w:tc>
          <w:tcPr>
            <w:tcW w:type="dxa" w:w="6048"/>
            <w:vAlign w:val="center"/>
          </w:tcPr>
          <w:p>
            <w:r>
              <w:t>Forwarder Data Upload 資料表欄位設定。</w:t>
            </w:r>
          </w:p>
        </w:tc>
      </w:tr>
      <w:tr>
        <w:tc>
          <w:tcPr>
            <w:tcW w:type="dxa" w:w="4320"/>
            <w:vAlign w:val="center"/>
            <w:shd w:fill="F3F6F9"/>
          </w:tcPr>
          <w:p>
            <w:r>
              <w:t>CustomsDataDownloadTableFields</w:t>
            </w:r>
          </w:p>
        </w:tc>
        <w:tc>
          <w:tcPr>
            <w:tcW w:type="dxa" w:w="6048"/>
            <w:vAlign w:val="center"/>
            <w:shd w:fill="F3F6F9"/>
          </w:tcPr>
          <w:p>
            <w:r>
              <w:t>Customs Data Download 顯示或下載欄位設定。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TariffTableFields</w:t>
            </w:r>
          </w:p>
        </w:tc>
        <w:tc>
          <w:tcPr>
            <w:tcW w:type="dxa" w:w="6048"/>
            <w:vAlign w:val="center"/>
          </w:tcPr>
          <w:p>
            <w:r>
              <w:t>Tariff Data 資料表欄位設定。</w:t>
            </w:r>
          </w:p>
        </w:tc>
      </w:tr>
    </w:tbl>
    <w:p/>
    <w:p>
      <w:r>
        <w:t>欄位設定通常會影響顯示順序、名稱、是否可見、篩選或匯出。修改後要逐頁檢查表頭、Filter、分頁與 Excel 輸出。</w:t>
      </w:r>
    </w:p>
    <w:p>
      <w:r>
        <w:t>appsettings.example.json 的 _comment_ShipInfoProDataTableFields 指向 Config/shipinfo-pro-datatable-fields.json；這是說明欄位，不會直接成為執行設定。_comment_IntegrationEvents 同樣只提供文件位置。</w:t>
      </w:r>
    </w:p>
    <w:p>
      <w:pPr>
        <w:pStyle w:val="Heading1"/>
      </w:pPr>
      <w:r>
        <w:t>7 Integration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4608"/>
            <w:shd w:fill="1F4E78"/>
            <w:vAlign w:val="center"/>
          </w:tcPr>
          <w:p>
            <w:r>
              <w:rPr>
                <w:b/>
                <w:color w:val="FFFFFF"/>
              </w:rPr>
              <w:t>Key checks</w:t>
            </w:r>
          </w:p>
        </w:tc>
      </w:tr>
      <w:tr>
        <w:tc>
          <w:tcPr>
            <w:tcW w:type="dxa" w:w="2448"/>
            <w:vAlign w:val="center"/>
          </w:tcPr>
          <w:p>
            <w:r>
              <w:t>RabbitMq</w:t>
            </w:r>
          </w:p>
        </w:tc>
        <w:tc>
          <w:tcPr>
            <w:tcW w:type="dxa" w:w="3312"/>
            <w:vAlign w:val="center"/>
          </w:tcPr>
          <w:p>
            <w:r>
              <w:t>發佈 ICP 整合事件。</w:t>
            </w:r>
          </w:p>
        </w:tc>
        <w:tc>
          <w:tcPr>
            <w:tcW w:type="dxa" w:w="4608"/>
            <w:vAlign w:val="center"/>
          </w:tcPr>
          <w:p>
            <w:r>
              <w:t>Enabled、HostName、Port、VirtualHost、Exchange、RoutingKey 與認證。</w:t>
            </w:r>
          </w:p>
        </w:tc>
      </w:tr>
      <w:tr>
        <w:tc>
          <w:tcPr>
            <w:tcW w:type="dxa" w:w="2448"/>
            <w:vAlign w:val="center"/>
            <w:shd w:fill="F3F6F9"/>
          </w:tcPr>
          <w:p>
            <w:r>
              <w:t>Outbox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t>控制待發事件的輪詢與重試。</w:t>
            </w:r>
          </w:p>
        </w:tc>
        <w:tc>
          <w:tcPr>
            <w:tcW w:type="dxa" w:w="4608"/>
            <w:vAlign w:val="center"/>
            <w:shd w:fill="F3F6F9"/>
          </w:tcPr>
          <w:p>
            <w:r>
              <w:t>PollIntervalSeconds、MaxRetryCount、BatchSize。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Hub</w:t>
            </w:r>
          </w:p>
        </w:tc>
        <w:tc>
          <w:tcPr>
            <w:tcW w:type="dxa" w:w="3312"/>
            <w:vAlign w:val="center"/>
          </w:tcPr>
          <w:p>
            <w:r>
              <w:t>TEL Integration Hub 位置。</w:t>
            </w:r>
          </w:p>
        </w:tc>
        <w:tc>
          <w:tcPr>
            <w:tcW w:type="dxa" w:w="4608"/>
            <w:vAlign w:val="center"/>
          </w:tcPr>
          <w:p>
            <w:r>
              <w:t>BaseUrl 可連線且使用正確環境。</w:t>
            </w:r>
          </w:p>
        </w:tc>
      </w:tr>
      <w:tr>
        <w:tc>
          <w:tcPr>
            <w:tcW w:type="dxa" w:w="2448"/>
            <w:vAlign w:val="center"/>
            <w:shd w:fill="F3F6F9"/>
          </w:tcPr>
          <w:p>
            <w:r>
              <w:t>Export</w:t>
            </w:r>
          </w:p>
        </w:tc>
        <w:tc>
          <w:tcPr>
            <w:tcW w:type="dxa" w:w="3312"/>
            <w:vAlign w:val="center"/>
            <w:shd w:fill="F3F6F9"/>
          </w:tcPr>
          <w:p>
            <w:r>
              <w:t>FileGenerator 共用輸出位置。</w:t>
            </w:r>
          </w:p>
        </w:tc>
        <w:tc>
          <w:tcPr>
            <w:tcW w:type="dxa" w:w="4608"/>
            <w:vAlign w:val="center"/>
            <w:shd w:fill="F3F6F9"/>
          </w:tcPr>
          <w:p>
            <w:r>
              <w:t>OutputDirectory 存在且服務帳號可讀寫。</w:t>
            </w:r>
          </w:p>
        </w:tc>
      </w:tr>
    </w:tbl>
    <w:p/>
    <w:p>
      <w:pPr>
        <w:pStyle w:val="ListBullet"/>
      </w:pPr>
      <w:r>
        <w:t>RabbitMQ 密碼屬於 Secret，不應保存在可提交檔案。</w:t>
      </w:r>
    </w:p>
    <w:p>
      <w:pPr>
        <w:pStyle w:val="ListBullet"/>
      </w:pPr>
      <w:r>
        <w:t>啟用整合前先確認目的環境、交換器與 Routing Key，避免將測試事件送往正式系統。</w:t>
      </w:r>
    </w:p>
    <w:p>
      <w:pPr>
        <w:pStyle w:val="Heading2"/>
      </w:pPr>
      <w:r>
        <w:t>7.1 RabbitMQ settings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7200"/>
            <w:shd w:fill="1F4E78"/>
            <w:vAlign w:val="cente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68"/>
            <w:vAlign w:val="center"/>
          </w:tcPr>
          <w:p>
            <w:r>
              <w:t>Enabled</w:t>
            </w:r>
          </w:p>
        </w:tc>
        <w:tc>
          <w:tcPr>
            <w:tcW w:type="dxa" w:w="7200"/>
            <w:vAlign w:val="center"/>
          </w:tcPr>
          <w:p>
            <w:r>
              <w:t>false 時不發佈 RabbitMQ 訊息；確認連線與目的環境後才設為 true。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r>
              <w:t>HostName / Port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t>Broker 主機與 AMQP Port，常見未加密連線為 5672；仍以環境規格為準。</w:t>
            </w:r>
          </w:p>
        </w:tc>
      </w:tr>
      <w:tr>
        <w:tc>
          <w:tcPr>
            <w:tcW w:type="dxa" w:w="3168"/>
            <w:vAlign w:val="center"/>
          </w:tcPr>
          <w:p>
            <w:r>
              <w:t>VirtualHost</w:t>
            </w:r>
          </w:p>
        </w:tc>
        <w:tc>
          <w:tcPr>
            <w:tcW w:type="dxa" w:w="7200"/>
            <w:vAlign w:val="center"/>
          </w:tcPr>
          <w:p>
            <w:r>
              <w:t>RabbitMQ virtual host；使用者必須被授權存取。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r>
              <w:t>UserName / Password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t>服務帳號與密碼；Password 必須由 Secret 或受保護的環境設定供應。</w:t>
            </w:r>
          </w:p>
        </w:tc>
      </w:tr>
      <w:tr>
        <w:tc>
          <w:tcPr>
            <w:tcW w:type="dxa" w:w="3168"/>
            <w:vAlign w:val="center"/>
          </w:tcPr>
          <w:p>
            <w:r>
              <w:t>Exchange</w:t>
            </w:r>
          </w:p>
        </w:tc>
        <w:tc>
          <w:tcPr>
            <w:tcW w:type="dxa" w:w="7200"/>
            <w:vAlign w:val="center"/>
          </w:tcPr>
          <w:p>
            <w:r>
              <w:t>事件發佈的 exchange；必須與 RabbitMQ 端拓樸一致。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r>
              <w:t>RoutingKey</w:t>
            </w:r>
          </w:p>
        </w:tc>
        <w:tc>
          <w:tcPr>
            <w:tcW w:type="dxa" w:w="7200"/>
            <w:vAlign w:val="center"/>
            <w:shd w:fill="F3F6F9"/>
          </w:tcPr>
          <w:p>
            <w:r>
              <w:t>事件 routing key；目前範例為 icp.shipinfo.case.initiated。</w:t>
            </w:r>
          </w:p>
        </w:tc>
      </w:tr>
    </w:tbl>
    <w:p/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>"RabbitMq": {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 xml:space="preserve">  "Enabled": true, "HostName": "&lt;RABBITMQ_HOST&gt;", "Port": 5672,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 xml:space="preserve">  "VirtualHost": "&lt;VHOST&gt;", "UserName": "&lt;SERVICE_ACCOUNT&gt;",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 xml:space="preserve">  "Password": "&lt;SECRET&gt;", "Exchange": "tel.integration",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 xml:space="preserve">  "RoutingKey": "icp.shipinfo.case.initiated"</w:t>
      </w:r>
    </w:p>
    <w:p>
      <w:pPr>
        <w:spacing w:after="20"/>
        <w:ind w:left="360"/>
      </w:pPr>
      <w:r>
        <w:rPr>
          <w:rFonts w:ascii="Consolas" w:hAnsi="Consolas" w:eastAsia="Microsoft JhengHei"/>
          <w:sz w:val="17"/>
        </w:rPr>
        <w:t>}</w:t>
      </w:r>
    </w:p>
    <w:p>
      <w:pPr>
        <w:pStyle w:val="Heading2"/>
      </w:pPr>
      <w:r>
        <w:t>7.2 Outbox Hub and Export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3888"/>
            <w:shd w:fill="1F4E78"/>
            <w:vAlign w:val="center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6480"/>
            <w:shd w:fill="1F4E78"/>
            <w:vAlign w:val="cente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888"/>
            <w:vAlign w:val="center"/>
          </w:tcPr>
          <w:p>
            <w:r>
              <w:t>Outbox.PollIntervalSeconds</w:t>
            </w:r>
          </w:p>
        </w:tc>
        <w:tc>
          <w:tcPr>
            <w:tcW w:type="dxa" w:w="6480"/>
            <w:vAlign w:val="center"/>
          </w:tcPr>
          <w:p>
            <w:r>
              <w:t>背景服務掃描待發事件的秒數間隔。</w:t>
            </w:r>
          </w:p>
        </w:tc>
      </w:tr>
      <w:tr>
        <w:tc>
          <w:tcPr>
            <w:tcW w:type="dxa" w:w="3888"/>
            <w:vAlign w:val="center"/>
            <w:shd w:fill="F3F6F9"/>
          </w:tcPr>
          <w:p>
            <w:r>
              <w:t>Outbox.MaxRetryCount</w:t>
            </w:r>
          </w:p>
        </w:tc>
        <w:tc>
          <w:tcPr>
            <w:tcW w:type="dxa" w:w="6480"/>
            <w:vAlign w:val="center"/>
            <w:shd w:fill="F3F6F9"/>
          </w:tcPr>
          <w:p>
            <w:r>
              <w:t>單筆事件最大重試次數。</w:t>
            </w:r>
          </w:p>
        </w:tc>
      </w:tr>
      <w:tr>
        <w:tc>
          <w:tcPr>
            <w:tcW w:type="dxa" w:w="3888"/>
            <w:vAlign w:val="center"/>
          </w:tcPr>
          <w:p>
            <w:r>
              <w:t>Outbox.BatchSize</w:t>
            </w:r>
          </w:p>
        </w:tc>
        <w:tc>
          <w:tcPr>
            <w:tcW w:type="dxa" w:w="6480"/>
            <w:vAlign w:val="center"/>
          </w:tcPr>
          <w:p>
            <w:r>
              <w:t>每批處理筆數；調高會增加瞬間負載。</w:t>
            </w:r>
          </w:p>
        </w:tc>
      </w:tr>
      <w:tr>
        <w:tc>
          <w:tcPr>
            <w:tcW w:type="dxa" w:w="3888"/>
            <w:vAlign w:val="center"/>
            <w:shd w:fill="F3F6F9"/>
          </w:tcPr>
          <w:p>
            <w:r>
              <w:t>Hub.BaseUrl</w:t>
            </w:r>
          </w:p>
        </w:tc>
        <w:tc>
          <w:tcPr>
            <w:tcW w:type="dxa" w:w="6480"/>
            <w:vAlign w:val="center"/>
            <w:shd w:fill="F3F6F9"/>
          </w:tcPr>
          <w:p>
            <w:r>
              <w:t>TEL Integration Hub 的基底 URL，必須指向正確環境。</w:t>
            </w:r>
          </w:p>
        </w:tc>
      </w:tr>
      <w:tr>
        <w:tc>
          <w:tcPr>
            <w:tcW w:type="dxa" w:w="3888"/>
            <w:vAlign w:val="center"/>
          </w:tcPr>
          <w:p>
            <w:r>
              <w:t>Export.OutputDirectory</w:t>
            </w:r>
          </w:p>
        </w:tc>
        <w:tc>
          <w:tcPr>
            <w:tcW w:type="dxa" w:w="6480"/>
            <w:vAlign w:val="center"/>
          </w:tcPr>
          <w:p>
            <w:r>
              <w:t>與 FileGenerator 共用的輸出位置；路徑與權限見第 5 章。</w:t>
            </w:r>
          </w:p>
        </w:tc>
      </w:tr>
    </w:tbl>
    <w:p/>
    <w:p>
      <w:r>
        <w:t>驗證 RabbitMQ 時，先確認 DNS 與 Port，再確認帳密、VirtualHost permission、Exchange 與 Routing Key。啟用後建立一筆測試事件，檢查 Outbox 是否送出，並查看應用程式 Log 是否出現 connection refused、authentication refused 或 exchange not found。</w:t>
      </w:r>
    </w:p>
    <w:p>
      <w:pPr>
        <w:pStyle w:val="Heading1"/>
      </w:pPr>
      <w:r>
        <w:t>8 Logging and Hosting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888"/>
            <w:shd w:fill="1F4E78"/>
            <w:vAlign w:val="cente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600"/>
            <w:shd w:fill="1F4E78"/>
            <w:vAlign w:val="center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Logging.LogLevel</w:t>
            </w:r>
          </w:p>
        </w:tc>
        <w:tc>
          <w:tcPr>
            <w:tcW w:type="dxa" w:w="3888"/>
            <w:vAlign w:val="center"/>
          </w:tcPr>
          <w:p>
            <w:r>
              <w:t>ASP.NET Core 記錄層級。</w:t>
            </w:r>
          </w:p>
        </w:tc>
        <w:tc>
          <w:tcPr>
            <w:tcW w:type="dxa" w:w="3600"/>
            <w:vAlign w:val="center"/>
          </w:tcPr>
          <w:p>
            <w:r>
              <w:t>正式環境避免長期使用 Debug 或 Trace。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>
              <w:t>Serilog.MinimumLevel</w:t>
            </w:r>
          </w:p>
        </w:tc>
        <w:tc>
          <w:tcPr>
            <w:tcW w:type="dxa" w:w="3888"/>
            <w:vAlign w:val="center"/>
            <w:shd w:fill="F3F6F9"/>
          </w:tcPr>
          <w:p>
            <w:r>
              <w:t>Serilog 全域與來源層級。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t>保留必要診斷資訊，避免記錄敏感內容。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Serilog.WriteTo</w:t>
            </w:r>
          </w:p>
        </w:tc>
        <w:tc>
          <w:tcPr>
            <w:tcW w:type="dxa" w:w="3888"/>
            <w:vAlign w:val="center"/>
          </w:tcPr>
          <w:p>
            <w:r>
              <w:t>Log 輸出目的地與格式。</w:t>
            </w:r>
          </w:p>
        </w:tc>
        <w:tc>
          <w:tcPr>
            <w:tcW w:type="dxa" w:w="3600"/>
            <w:vAlign w:val="center"/>
          </w:tcPr>
          <w:p>
            <w:r>
              <w:t>確認路徑、保留天數、檔案大小及磁碟空間。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r>
              <w:t>AllowedHosts</w:t>
            </w:r>
          </w:p>
        </w:tc>
        <w:tc>
          <w:tcPr>
            <w:tcW w:type="dxa" w:w="3888"/>
            <w:vAlign w:val="center"/>
            <w:shd w:fill="F3F6F9"/>
          </w:tcPr>
          <w:p>
            <w:r>
              <w:t>允許的 Host header。</w:t>
            </w:r>
          </w:p>
        </w:tc>
        <w:tc>
          <w:tcPr>
            <w:tcW w:type="dxa" w:w="3600"/>
            <w:vAlign w:val="center"/>
            <w:shd w:fill="F3F6F9"/>
          </w:tcPr>
          <w:p>
            <w:r>
              <w:t>正式環境設定明確主機名稱。</w:t>
            </w:r>
          </w:p>
        </w:tc>
      </w:tr>
    </w:tbl>
    <w:p/>
    <w:p>
      <w:r>
        <w:t>AllowedHosts = * 代表不限制 Host header；正式環境建議改成核准的主機名稱。LogLevel 與 Serilog 設定若同時存在，需確認實際 provider 與 override 層級，不要在正式環境長期記錄 Debug、Trace、密碼或完整連線字串。</w:t>
      </w:r>
    </w:p>
    <w:p>
      <w:pPr>
        <w:pStyle w:val="Heading1"/>
      </w:pPr>
      <w:r>
        <w:t>9 Change Procedure</w:t>
      </w:r>
    </w:p>
    <w:p>
      <w:r>
        <w:t>1.　先確認要修改的環境與實際載入的 appsettings 檔案。</w:t>
      </w:r>
    </w:p>
    <w:p>
      <w:r>
        <w:t>2.　備份原設定，但不要把含 Secret 的備份放入網站目錄或 Git。</w:t>
      </w:r>
    </w:p>
    <w:p>
      <w:r>
        <w:t>3.　只修改必要欄位，保持 JSON 結構、逗號與型別正確。</w:t>
      </w:r>
    </w:p>
    <w:p>
      <w:r>
        <w:t>4.　重新啟動服務；少數由 IOptionsMonitor 或 IConfiguration 讀取的設定可熱更新，但正式變更仍建議重啟驗證。</w:t>
      </w:r>
    </w:p>
    <w:p>
      <w:r>
        <w:t>5.　依變更範圍執行登入、Menu、查詢、上傳、匯出與整合測試。</w:t>
      </w:r>
    </w:p>
    <w:p>
      <w:r>
        <w:t>6.　檢查應用程式 Log，確認沒有 Options validation、資料庫、路徑或連線錯誤。</w:t>
      </w:r>
    </w:p>
    <w:p>
      <w:pPr>
        <w:pStyle w:val="Heading1"/>
      </w:pPr>
      <w:r>
        <w:t>10 Deployment Checklist</w:t>
      </w:r>
    </w:p>
    <w:p>
      <w:pPr>
        <w:pStyle w:val="ListBullet"/>
      </w:pPr>
      <w:r>
        <w:t>App.Mode 與 SuperUser 符合正式環境政策。</w:t>
      </w:r>
    </w:p>
    <w:p>
      <w:pPr>
        <w:pStyle w:val="ListBullet"/>
      </w:pPr>
      <w:r>
        <w:t>ConnectionStrings 指向正確環境且 Secret 未提交 Git。</w:t>
      </w:r>
    </w:p>
    <w:p>
      <w:pPr>
        <w:pStyle w:val="ListBullet"/>
      </w:pPr>
      <w:r>
        <w:t>StoragePath、OutputDirectory 與附件目錄存在並具有適當權限。</w:t>
      </w:r>
    </w:p>
    <w:p>
      <w:pPr>
        <w:pStyle w:val="ListBullet"/>
      </w:pPr>
      <w:r>
        <w:t>CustomLinks 使用可部署的站內路徑或核准的 https URL。</w:t>
      </w:r>
    </w:p>
    <w:p>
      <w:pPr>
        <w:pStyle w:val="ListBullet"/>
      </w:pPr>
      <w:r>
        <w:t>MenuOrder、DefaultPage 與角色資源權限一致。</w:t>
      </w:r>
    </w:p>
    <w:p>
      <w:pPr>
        <w:pStyle w:val="ListBullet"/>
      </w:pPr>
      <w:r>
        <w:t>RabbitMq、Hub 與 Outbox 指向正確環境並完成連線測試。</w:t>
      </w:r>
    </w:p>
    <w:p>
      <w:pPr>
        <w:pStyle w:val="ListBullet"/>
      </w:pPr>
      <w:r>
        <w:t>Logging 層級、檔案保留與磁碟容量已確認。</w:t>
      </w:r>
    </w:p>
    <w:p>
      <w:pPr>
        <w:pStyle w:val="ListBullet"/>
      </w:pPr>
      <w:r>
        <w:t>重新登入並完成關鍵頁面的 Smoke Test。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ICP Configuration Guide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 系統設定管理手冊</dc:title>
  <dc:subject>appsettings 設定與部署檢查</dc:subject>
  <dc:creator>ICP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