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Security Engineering Iteration Template</w:t>
      </w:r>
    </w:p>
    <w:p>
      <w:pPr>
        <w:pStyle w:val="Subtitle"/>
      </w:pPr>
      <w:r>
        <w:t xml:space="preserve">Threat hypothesis starter register + concise, reusable exercise worksheet</w:t>
      </w:r>
    </w:p>
    <w:p>
      <w:pPr>
        <w:pStyle w:val="Date"/>
      </w:pPr>
      <w:r>
        <w:t xml:space="preserve">October 11, 2026</w:t>
      </w:r>
    </w:p>
    <w:p>
      <w:pPr>
        <w:pStyle w:val="FirstParagraph"/>
      </w:pPr>
      <w:r>
        <w:t xml:space="preserve">Use this worksheet for</w:t>
      </w:r>
      <w:r>
        <w:t xml:space="preserve"> </w:t>
      </w:r>
      <w:r>
        <w:rPr>
          <w:b/>
          <w:bCs/>
        </w:rPr>
        <w:t xml:space="preserve">one authorized lab exercise</w:t>
      </w:r>
      <w:r>
        <w:t xml:space="preserve">. Pick a threat from the table, complete the cycle, and update the threat hypothesis if your evidence changes it. Short phrases are enough; write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when evidence is missing. Keep detailed logs, screenshots, and commands in your evidence folder rather than copying them into this template.</w:t>
      </w:r>
    </w:p>
    <w:bookmarkStart w:id="18" w:name="threat-hypotheses-to-work-through"/>
    <w:p>
      <w:pPr>
        <w:pStyle w:val="Heading2"/>
      </w:pPr>
      <w:r>
        <w:t xml:space="preserve">Threat hypotheses to work through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Threat hypothesis</w:t>
            </w:r>
          </w:p>
        </w:tc>
        <w:tc>
          <w:tcPr/>
          <w:p>
            <w:pPr>
              <w:pStyle w:val="Compact"/>
            </w:pPr>
            <w:r>
              <w:t xml:space="preserve">Trust boundary</w:t>
            </w:r>
          </w:p>
        </w:tc>
        <w:tc>
          <w:tcPr/>
          <w:p>
            <w:pPr>
              <w:pStyle w:val="Compact"/>
            </w:pPr>
            <w:r>
              <w:t xml:space="preserve">Initial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T-01</w:t>
            </w:r>
          </w:p>
        </w:tc>
        <w:tc>
          <w:tcPr/>
          <w:p>
            <w:pPr>
              <w:pStyle w:val="Compact"/>
            </w:pPr>
            <w:r>
              <w:t xml:space="preserve">Weak SSH credentials permit unauthorized target access.</w:t>
            </w:r>
          </w:p>
        </w:tc>
        <w:tc>
          <w:tcPr/>
          <w:p>
            <w:pPr>
              <w:pStyle w:val="Compact"/>
            </w:pPr>
            <w:r>
              <w:t xml:space="preserve">Kali → target SSH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T-02</w:t>
            </w:r>
          </w:p>
        </w:tc>
        <w:tc>
          <w:tcPr/>
          <w:p>
            <w:pPr>
              <w:pStyle w:val="Compact"/>
            </w:pPr>
            <w:r>
              <w:t xml:space="preserve">A web user accesses another user’s data or functions.</w:t>
            </w:r>
          </w:p>
        </w:tc>
        <w:tc>
          <w:tcPr/>
          <w:p>
            <w:pPr>
              <w:pStyle w:val="Compact"/>
            </w:pPr>
            <w:r>
              <w:t xml:space="preserve">Web user → application authorization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T-03</w:t>
            </w:r>
          </w:p>
        </w:tc>
        <w:tc>
          <w:tcPr/>
          <w:p>
            <w:pPr>
              <w:pStyle w:val="Compact"/>
            </w:pPr>
            <w:r>
              <w:t xml:space="preserve">Malicious web input reaches an interpreter or database query.</w:t>
            </w:r>
          </w:p>
        </w:tc>
        <w:tc>
          <w:tcPr/>
          <w:p>
            <w:pPr>
              <w:pStyle w:val="Compact"/>
            </w:pPr>
            <w:r>
              <w:t xml:space="preserve">Web request → application/database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T-04</w:t>
            </w:r>
          </w:p>
        </w:tc>
        <w:tc>
          <w:tcPr/>
          <w:p>
            <w:pPr>
              <w:pStyle w:val="Compact"/>
            </w:pPr>
            <w:r>
              <w:t xml:space="preserve">Activity after login is not sufficiently observable.</w:t>
            </w:r>
          </w:p>
        </w:tc>
        <w:tc>
          <w:tcPr/>
          <w:p>
            <w:pPr>
              <w:pStyle w:val="Compact"/>
            </w:pPr>
            <w:r>
              <w:t xml:space="preserve">Target OS → logs → Wazuh</w:t>
            </w:r>
          </w:p>
        </w:tc>
        <w:tc>
          <w:tcPr/>
          <w:p>
            <w:pPr>
              <w:pStyle w:val="Compact"/>
            </w:pPr>
            <w:r>
              <w:t xml:space="preserve">Medium/High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T-05</w:t>
            </w:r>
          </w:p>
        </w:tc>
        <w:tc>
          <w:tcPr/>
          <w:p>
            <w:pPr>
              <w:pStyle w:val="Compact"/>
            </w:pPr>
            <w:r>
              <w:t xml:space="preserve">Untrusted log text influences Goose’s conclusions.</w:t>
            </w:r>
          </w:p>
        </w:tc>
        <w:tc>
          <w:tcPr/>
          <w:p>
            <w:pPr>
              <w:pStyle w:val="Compact"/>
            </w:pPr>
            <w:r>
              <w:t xml:space="preserve">SIEM data → MCP → LLM</w:t>
            </w:r>
          </w:p>
        </w:tc>
        <w:tc>
          <w:tcPr/>
          <w:p>
            <w:pPr>
              <w:pStyle w:val="Compact"/>
            </w:pPr>
            <w:r>
              <w:t xml:space="preserve">Medium/High</w:t>
            </w:r>
          </w:p>
        </w:tc>
      </w:tr>
    </w:tbl>
    <w:p>
      <w:pPr>
        <w:pStyle w:val="BodyText"/>
      </w:pPr>
      <w:r>
        <w:rPr>
          <w:i/>
          <w:iCs/>
        </w:rPr>
        <w:t xml:space="preserve">These priorities are starting hypotheses, not measured findings. The table is a starter threat register, not a complete model; revise it as you learn.</w:t>
      </w:r>
    </w:p>
    <w:bookmarkEnd w:id="18"/>
    <w:bookmarkStart w:id="25" w:name="X6d7a2d38140f3ed3a8e3da81884d70b3b5a0540"/>
    <w:p>
      <w:pPr>
        <w:pStyle w:val="Heading2"/>
      </w:pPr>
      <w:r>
        <w:t xml:space="preserve">Iteration worksheet — copy for each exercise</w:t>
      </w:r>
    </w:p>
    <w:p>
      <w:pPr>
        <w:pStyle w:val="FirstParagraph"/>
      </w:pPr>
      <w:r>
        <w:rPr>
          <w:b/>
          <w:bCs/>
        </w:rPr>
        <w:t xml:space="preserve">Scenario / threat ID:</w:t>
      </w:r>
      <w:r>
        <w:br/>
      </w:r>
      <w:r>
        <w:rPr>
          <w:b/>
          <w:bCs/>
        </w:rPr>
        <w:t xml:space="preserve">Date and exercise time window (including time zone):</w:t>
      </w:r>
      <w:r>
        <w:br/>
      </w:r>
      <w:r>
        <w:rPr>
          <w:b/>
          <w:bCs/>
        </w:rPr>
        <w:t xml:space="preserve">Systems and authorized scope (source → target):</w:t>
      </w:r>
    </w:p>
    <w:bookmarkStart w:id="19" w:name="threat-model-what-could-go-wrong"/>
    <w:p>
      <w:pPr>
        <w:pStyle w:val="Heading3"/>
      </w:pPr>
      <w:r>
        <w:t xml:space="preserve">1. Threat model — What could go wrong?</w:t>
      </w:r>
    </w:p>
    <w:p>
      <w:pPr>
        <w:pStyle w:val="FirstParagraph"/>
      </w:pPr>
      <w:r>
        <w:rPr>
          <w:b/>
          <w:bCs/>
        </w:rPr>
        <w:t xml:space="preserve">Hypothesis:</w:t>
      </w:r>
      <w:r>
        <w:t xml:space="preserve"> </w:t>
      </w:r>
      <w:r>
        <w:t xml:space="preserve">An actor with __________ could __________, causing __________.</w:t>
      </w:r>
      <w:r>
        <w:br/>
      </w:r>
      <w:r>
        <w:rPr>
          <w:b/>
          <w:bCs/>
        </w:rPr>
        <w:t xml:space="preserve">Why it matters / trust boundary crossed:</w:t>
      </w:r>
      <w:r>
        <w:br/>
      </w:r>
      <w:r>
        <w:rPr>
          <w:b/>
          <w:bCs/>
        </w:rPr>
        <w:t xml:space="preserve">Framework anchors:</w:t>
      </w:r>
      <w:r>
        <w:t xml:space="preserve"> </w:t>
      </w:r>
      <w:r>
        <w:t xml:space="preserve">NIST CSF 2.0 outcome: __________ · NIST SP 800-53 control: __________ · OWASP Top 10 category (web scenarios only): __________</w:t>
      </w:r>
    </w:p>
    <w:bookmarkEnd w:id="19"/>
    <w:bookmarkStart w:id="20" w:name="simulate-what-did-i-test"/>
    <w:p>
      <w:pPr>
        <w:pStyle w:val="Heading3"/>
      </w:pPr>
      <w:r>
        <w:t xml:space="preserve">2. Simulate — What did I test?</w:t>
      </w:r>
    </w:p>
    <w:p>
      <w:pPr>
        <w:pStyle w:val="FirstParagraph"/>
      </w:pPr>
      <w:r>
        <w:rPr>
          <w:b/>
          <w:bCs/>
        </w:rPr>
        <w:t xml:space="preserve">Activity and stop condition:</w:t>
      </w:r>
      <w:r>
        <w:br/>
      </w:r>
      <w:r>
        <w:rPr>
          <w:b/>
          <w:bCs/>
        </w:rPr>
        <w:t xml:space="preserve">Expected outcome:</w:t>
      </w:r>
      <w:r>
        <w:br/>
      </w:r>
      <w:r>
        <w:rPr>
          <w:b/>
          <w:bCs/>
        </w:rPr>
        <w:t xml:space="preserve">Actual outcome:</w:t>
      </w:r>
    </w:p>
    <w:bookmarkEnd w:id="20"/>
    <w:bookmarkStart w:id="21" w:name="inspect-and-hunt-what-can-i-see"/>
    <w:p>
      <w:pPr>
        <w:pStyle w:val="Heading3"/>
      </w:pPr>
      <w:r>
        <w:t xml:space="preserve">3. Inspect and hunt — What can I see?</w:t>
      </w:r>
    </w:p>
    <w:p>
      <w:pPr>
        <w:pStyle w:val="FirstParagraph"/>
      </w:pPr>
      <w:r>
        <w:rPr>
          <w:b/>
          <w:bCs/>
        </w:rPr>
        <w:t xml:space="preserve">Raw log or event found (source and reference):</w:t>
      </w:r>
      <w:r>
        <w:br/>
      </w:r>
      <w:r>
        <w:rPr>
          <w:b/>
          <w:bCs/>
        </w:rPr>
        <w:t xml:space="preserve">Manual Wazuh search:</w:t>
      </w:r>
      <w:r>
        <w:t xml:space="preserve"> </w:t>
      </w:r>
      <w:r>
        <w:t xml:space="preserve">time window __________ · view/index __________ · filters __________</w:t>
      </w:r>
      <w:r>
        <w:br/>
      </w:r>
      <w:r>
        <w:rPr>
          <w:b/>
          <w:bCs/>
        </w:rPr>
        <w:t xml:space="preserve">Key evidence:</w:t>
      </w:r>
      <w:r>
        <w:t xml:space="preserve"> </w:t>
      </w:r>
      <w:r>
        <w:t xml:space="preserve">timestamp(s), source, user/path, rule ID, or saved-search reference:</w:t>
      </w:r>
      <w:r>
        <w:br/>
      </w:r>
      <w:r>
        <w:rPr>
          <w:b/>
          <w:bCs/>
        </w:rPr>
        <w:t xml:space="preserve">Visibility gap:</w:t>
      </w:r>
    </w:p>
    <w:bookmarkEnd w:id="21"/>
    <w:bookmarkStart w:id="22" w:name="X5d976ca53f3188ec991009d61ebc31bb653a05f"/>
    <w:p>
      <w:pPr>
        <w:pStyle w:val="Heading3"/>
      </w:pPr>
      <w:r>
        <w:t xml:space="preserve">4. Detect and investigate — What does the evidence mean?</w:t>
      </w:r>
    </w:p>
    <w:p>
      <w:pPr>
        <w:pStyle w:val="FirstParagraph"/>
      </w:pPr>
      <w:r>
        <w:rPr>
          <w:b/>
          <w:bCs/>
        </w:rPr>
        <w:t xml:space="preserve">Detection added or tuned:</w:t>
      </w:r>
      <w:r>
        <w:br/>
      </w:r>
      <w:r>
        <w:rPr>
          <w:b/>
          <w:bCs/>
        </w:rPr>
        <w:t xml:space="preserve">Suspicious test result:</w:t>
      </w:r>
      <w:r>
        <w:t xml:space="preserve"> </w:t>
      </w:r>
      <w:r>
        <w:t xml:space="preserve">__________ ·</w:t>
      </w:r>
      <w:r>
        <w:t xml:space="preserve"> </w:t>
      </w:r>
      <w:r>
        <w:rPr>
          <w:b/>
          <w:bCs/>
        </w:rPr>
        <w:t xml:space="preserve">Benign test result:</w:t>
      </w:r>
      <w:r>
        <w:t xml:space="preserve"> </w:t>
      </w:r>
      <w:r>
        <w:t xml:space="preserve">__________</w:t>
      </w:r>
      <w:r>
        <w:br/>
      </w:r>
      <w:r>
        <w:rPr>
          <w:b/>
          <w:bCs/>
        </w:rPr>
        <w:t xml:space="preserve">Confirmed by evidence:</w:t>
      </w:r>
      <w:r>
        <w:br/>
      </w:r>
      <w:r>
        <w:rPr>
          <w:b/>
          <w:bCs/>
        </w:rPr>
        <w:t xml:space="preserve">Still uncertain:</w:t>
      </w:r>
      <w:r>
        <w:br/>
      </w:r>
      <w:r>
        <w:rPr>
          <w:b/>
          <w:bCs/>
        </w:rPr>
        <w:t xml:space="preserve">Response I would recommend, and why:</w:t>
      </w:r>
    </w:p>
    <w:bookmarkEnd w:id="22"/>
    <w:bookmarkStart w:id="23" w:name="X2cadaa57ec8dfef2bf58cf15d5dc6f4ae62d1a0"/>
    <w:p>
      <w:pPr>
        <w:pStyle w:val="Heading3"/>
      </w:pPr>
      <w:r>
        <w:t xml:space="preserve">5. Control and retest — Did I improve the outcome?</w:t>
      </w:r>
    </w:p>
    <w:p>
      <w:pPr>
        <w:pStyle w:val="FirstParagraph"/>
      </w:pPr>
      <w:r>
        <w:rPr>
          <w:b/>
          <w:bCs/>
        </w:rPr>
        <w:t xml:space="preserve">Control changed or assessed:</w:t>
      </w:r>
      <w:r>
        <w:br/>
      </w:r>
      <w:r>
        <w:rPr>
          <w:b/>
          <w:bCs/>
        </w:rPr>
        <w:t xml:space="preserve">Retest result (including whether benign activity still works):</w:t>
      </w:r>
      <w:r>
        <w:br/>
      </w:r>
      <w:r>
        <w:rPr>
          <w:b/>
          <w:bCs/>
        </w:rPr>
        <w:t xml:space="preserve">Residual risk:</w:t>
      </w:r>
    </w:p>
    <w:bookmarkEnd w:id="23"/>
    <w:bookmarkStart w:id="24" w:name="close-the-loop"/>
    <w:p>
      <w:pPr>
        <w:pStyle w:val="Heading3"/>
      </w:pPr>
      <w:r>
        <w:t xml:space="preserve">6. Close the loop</w:t>
      </w:r>
    </w:p>
    <w:p>
      <w:pPr>
        <w:pStyle w:val="FirstParagraph"/>
      </w:pPr>
      <w:r>
        <w:rPr>
          <w:b/>
          <w:bCs/>
        </w:rPr>
        <w:t xml:space="preserve">Evidence saved at:</w:t>
      </w:r>
      <w:r>
        <w:br/>
      </w:r>
      <w:r>
        <w:rPr>
          <w:b/>
          <w:bCs/>
        </w:rPr>
        <w:t xml:space="preserve">Threat-model update / next question:</w:t>
      </w:r>
    </w:p>
    <w:p>
      <w:pPr>
        <w:pStyle w:val="BlockText"/>
      </w:pPr>
      <w:r>
        <w:rPr>
          <w:b/>
          <w:bCs/>
        </w:rPr>
        <w:t xml:space="preserve">Keep the loop honest:</w:t>
      </w:r>
      <w:r>
        <w:t xml:space="preserve"> </w:t>
      </w:r>
      <w:r>
        <w:t xml:space="preserve">Separate what happened from what the logs prove. A control mapping is not proof of implementation; a passing configuration check is not proof that an entire framework is satisfied. Keep Kali and vulnerable services inside the authorized isolated lab network.</w:t>
      </w:r>
    </w:p>
    <w:bookmarkEnd w:id="24"/>
    <w:bookmarkEnd w:id="25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B63"/>
        <w:sz w:val="16"/>
      </w:rPr>
      <w:t xml:space="preserve">Page </w:t>
    </w:r>
    <w:r>
      <w:rPr>
        <w:rFonts w:ascii="Calibri" w:hAnsi="Calibri"/>
        <w:color w:val="5B6B63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line="276" w:lineRule="auto"/>
    </w:pPr>
    <w:rPr>
      <w:rFonts w:ascii="Calibri" w:hAnsi="Calibri"/>
      <w:color w:val="16231D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240"/>
      <w:outlineLvl w:val="0"/>
    </w:pPr>
    <w:rPr>
      <w:rFonts w:ascii="Calibri" w:asciiTheme="majorHAnsi" w:cstheme="majorBidi" w:eastAsiaTheme="majorEastAsia" w:hAnsi="Calibri" w:hAnsiTheme="majorHAnsi"/>
      <w:b/>
      <w:bCs/>
      <w:color w:val="006241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40"/>
      <w:outlineLvl w:val="1"/>
    </w:pPr>
    <w:rPr>
      <w:rFonts w:ascii="Calibri" w:asciiTheme="majorHAnsi" w:cstheme="majorBidi" w:eastAsiaTheme="majorEastAsia" w:hAnsi="Calibri" w:hAnsiTheme="majorHAnsi"/>
      <w:b/>
      <w:bCs/>
      <w:color w:val="00351F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/>
      <w:outlineLvl w:val="2"/>
    </w:pPr>
    <w:rPr>
      <w:rFonts w:ascii="Calibri" w:asciiTheme="majorHAnsi" w:cstheme="majorBidi" w:eastAsiaTheme="majorEastAsia" w:hAnsi="Calibri" w:hAnsiTheme="majorHAnsi"/>
      <w:b/>
      <w:bCs/>
      <w:color w:val="16231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40" w:line="240" w:lineRule="auto"/>
      <w:contextualSpacing/>
    </w:pPr>
    <w:rPr>
      <w:rFonts w:ascii="Calibri" w:asciiTheme="majorHAnsi" w:cstheme="majorBidi" w:eastAsiaTheme="majorEastAsia" w:hAnsi="Calibri" w:hAnsiTheme="majorHAnsi"/>
      <w:b/>
      <w:color w:val="006241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Calibri" w:asciiTheme="majorHAnsi" w:cstheme="majorBidi" w:eastAsiaTheme="majorEastAsia" w:hAnsi="Calibri" w:hAnsiTheme="majorHAnsi"/>
      <w:b w:val="0"/>
      <w:i/>
      <w:iCs/>
      <w:color w:val="5B6B63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Engineering Iteration Template</dc:title>
  <dc:creator/>
  <cp:keywords/>
  <dcterms:created xsi:type="dcterms:W3CDTF">2026-10-11T21:17:11Z</dcterms:created>
  <dcterms:modified xsi:type="dcterms:W3CDTF">2026-10-11T21:17:11Z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11, 2026</vt:lpwstr>
  </property>
  <property fmtid="{D5CDD505-2E9C-101B-9397-08002B2CF9AE}" pid="3" name="subtitle">
    <vt:lpwstr>Threat hypothesis starter register + concise, reusable exercise worksheet</vt:lpwstr>
  </property>
</Properties>
</file>