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sdt>
        <w:sdtPr>
          <w:id w:val="761677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1. 프로젝트 개요 및 목표 (Business Objective)</w:t>
          </w:r>
        </w:sdtContent>
      </w:sdt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sdt>
        <w:sdtPr>
          <w:id w:val="-2590418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해결하려는 문제:</w:t>
          </w:r>
        </w:sdtContent>
      </w:sdt>
      <w:sdt>
        <w:sdtPr>
          <w:id w:val="-209199186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건설 현장에서 대형 트럭(덤프, 레미콘 등) 후진 및 이동 시 발생하는 보행자/작업자 충돌 사고 리스크, 유도원의 피로도 누적 및 인건비 부담. 안전성 문제(사망 사고건수)</w:t>
          </w:r>
        </w:sdtContent>
      </w:sdt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sdt>
        <w:sdtPr>
          <w:id w:val="132317661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최종 목표:</w:t>
          </w:r>
        </w:sdtContent>
      </w:sdt>
      <w:sdt>
        <w:sdtPr>
          <w:id w:val="-200677920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험지 주행과 실시간 객체 인식이 가능한 로봇을 투입하여, 인간 유도원을 대체하거나 보조함으로써 </w:t>
          </w:r>
        </w:sdtContent>
      </w:sdt>
      <w:sdt>
        <w:sdtPr>
          <w:id w:val="-105287921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안전사고 0건 달성 및 안전 관리 비용 절감</w:t>
          </w:r>
        </w:sdtContent>
      </w:sdt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ind w:left="720" w:firstLine="0"/>
        <w:rPr/>
      </w:pPr>
      <w:sdt>
        <w:sdtPr>
          <w:id w:val="158350595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*호서대학</w:t>
          </w:r>
        </w:sdtContent>
      </w:sdt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25799980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2. 타겟 사용자 및 이해관계자 (Stakeholders)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sdt>
        <w:sdtPr>
          <w:id w:val="-87855655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주요 사용자:</w:t>
          </w:r>
        </w:sdtContent>
      </w:sdt>
      <w:sdt>
        <w:sdtPr>
          <w:id w:val="183010171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건설 현장 (로봇의 신호를 보고 차량을 움직임). -&gt; 도로가 있어야함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sdt>
        <w:sdtPr>
          <w:id w:val="44082714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운영자:</w:t>
          </w:r>
        </w:sdtContent>
      </w:sdt>
      <w:sdt>
        <w:sdtPr>
          <w:id w:val="177084209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현장 안전 관리자 또는 중앙 관제실 직원 (로봇의 상태를 모니터링하고 필요시 원격 제어).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sdt>
        <w:sdtPr>
          <w:id w:val="151353773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의사결정권자:</w:t>
          </w:r>
        </w:sdtContent>
      </w:sdt>
      <w:sdt>
        <w:sdtPr>
          <w:id w:val="26801104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건설사 임원 및 현장 소장 (도입 비용 대비 안전 확보 효과를 평가).</w:t>
          </w:r>
        </w:sdtContent>
      </w:sdt>
    </w:p>
    <w:p w:rsidR="00000000" w:rsidDel="00000000" w:rsidP="00000000" w:rsidRDefault="00000000" w:rsidRPr="00000000" w14:paraId="00000009">
      <w:pPr>
        <w:rPr>
          <w:b w:val="1"/>
          <w:bCs w:val="1"/>
        </w:rPr>
      </w:pPr>
      <w:sdt>
        <w:sdtPr>
          <w:id w:val="-1732372466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3. 핵심 기능 요구사항 (Functional Requirements)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id w:val="-1547320016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로봇이 실제로 '무엇을' 해야 하는지 정의합니다.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sdt>
        <w:sdtPr>
          <w:id w:val="-252468040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인지 및 유도 기능: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/>
      </w:pPr>
      <w:sdt>
        <w:sdtPr>
          <w:id w:val="-53600645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차량의 사각지대에 있는 사람이나 장애물을 실시간으로 인식 (LiDAR, 3D 카메라 등 활용).</w:t>
          </w:r>
        </w:sdtContent>
      </w:sdt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/>
      </w:pPr>
      <w:sdt>
        <w:sdtPr>
          <w:id w:val="1436051463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트럭 운전자에게 명확한 직관적 신호 전달 (고휘도 LED 전광판, 100dB 이상의 고출력 스피커 또는 운전자 스마트폰/무전기와의 연동).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sdt>
        <w:sdtPr>
          <w:id w:val="278001889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주행 및 내비게이션: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/>
      </w:pPr>
      <w:sdt>
        <w:sdtPr>
          <w:id w:val="2014598303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트럭의 이동 경로를 미리 파악하여 안전한 위치로 스스로 이동 (자율주행).</w:t>
          </w:r>
        </w:sdtContent>
      </w:sdt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/>
      </w:pPr>
      <w:sdt>
        <w:sdtPr>
          <w:id w:val="228772908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지정된 유도 구역 내에서의 동적 장애물(다른 작업자, 자재 등) 회피.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sdt>
        <w:sdtPr>
          <w:id w:val="-1678745988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관제 및 원격 제어 (Fallback 시스템):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/>
      </w:pPr>
      <w:sdt>
        <w:sdtPr>
          <w:id w:val="136574126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자율주행이 어려운 비상 상황 발생 시, 관제실에서 즉각적으로 로봇을 원격 조종할 수 있는 기능.</w:t>
          </w:r>
        </w:sdtContent>
      </w:sdt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/>
      </w:pPr>
      <w:sdt>
        <w:sdtPr>
          <w:id w:val="-774732533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로봇의 시야를 관제실로 실시간 스트리밍 (저지연 영상 전송).</w:t>
          </w:r>
        </w:sdtContent>
      </w:sdt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sdt>
        <w:sdtPr>
          <w:id w:val="129426817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1. 핵심 성장 동력: 원전 및 SMR(소형모듈원전)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sdt>
        <w:sdtPr>
          <w:id w:val="-1948513491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해외 수주 본격화</w:t>
          </w:r>
        </w:sdtContent>
      </w:sdt>
      <w:sdt>
        <w:sdtPr>
          <w:id w:val="1970562791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2026년은 체코 두코바니 원전 본계약, 미국 팰리세이드 SMR 프로젝트, 유럽 및 불가리아 대형 원전 등 글로벌 원전 시장에서의 성과가 가시화되는 시기입니다.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sdt>
        <w:sdtPr>
          <w:id w:val="-1097250835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에너지 기업으로의 변모</w:t>
          </w:r>
        </w:sdtContent>
      </w:sdt>
      <w:sdt>
        <w:sdtPr>
          <w:id w:val="1584306102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단순 시공을 넘어 SMR 등 차세대 에너지 기술력을 확보하고, 웨스팅하우스 등 글로벌 네트워크 인력을 영입하며 경쟁력을 강화하고 있습니다.</w:t>
          </w:r>
        </w:sdtContent>
      </w:sdt>
    </w:p>
    <w:p w:rsidR="00000000" w:rsidDel="00000000" w:rsidP="00000000" w:rsidRDefault="00000000" w:rsidRPr="00000000" w14:paraId="00000019">
      <w:pPr>
        <w:rPr>
          <w:b w:val="1"/>
          <w:bCs w:val="1"/>
        </w:rPr>
      </w:pPr>
      <w:sdt>
        <w:sdtPr>
          <w:id w:val="-2135568218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2. 수익성 및 재무 구조 개선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sdt>
        <w:sdtPr>
          <w:id w:val="-1180898396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실적 믹스 개선</w:t>
          </w:r>
        </w:sdtContent>
      </w:sdt>
      <w:sdt>
        <w:sdtPr>
          <w:id w:val="-6363202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수익성이 낮은 국내 주택 현장 비중을 줄이고, 마진이 높은 해외 원전 및 플랜트 사업 비중을 높여 영업이익률을 높이는 전략입니다.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sdt>
        <w:sdtPr>
          <w:id w:val="812545855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빅배스(Big Bath) 이후의 반등</w:t>
          </w:r>
        </w:sdtContent>
      </w:sdt>
      <w:sdt>
        <w:sdtPr>
          <w:id w:val="-2090244678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2025년까지 과거의 손실을 선제적으로 반영하여 재무적 불확실성을 제거했으며, 2026년부터는 본격적인 흑자 전환과 실적 회복이 예상됩니다.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sdt>
        <w:sdtPr>
          <w:id w:val="1546328361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안정적인 일감 확보</w:t>
          </w:r>
        </w:sdtContent>
      </w:sdt>
      <w:sdt>
        <w:sdtPr>
          <w:id w:val="1877971790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적게는 3년에서 많게는 6년 치에 달하는 풍부한 수주 잔고를 보유하여 중장기적인 성장 기반을 마련했습니다.</w:t>
          </w:r>
        </w:sdtContent>
      </w:sdt>
    </w:p>
    <w:p w:rsidR="00000000" w:rsidDel="00000000" w:rsidP="00000000" w:rsidRDefault="00000000" w:rsidRPr="00000000" w14:paraId="0000001D">
      <w:pPr>
        <w:rPr>
          <w:b w:val="1"/>
          <w:bCs w:val="1"/>
        </w:rPr>
      </w:pPr>
      <w:sdt>
        <w:sdtPr>
          <w:id w:val="-2127547851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3. 사업 포트폴리오 다각화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sdt>
        <w:sdtPr>
          <w:id w:val="-1217485057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탈(脫) 주택 전략</w:t>
          </w:r>
        </w:sdtContent>
      </w:sdt>
      <w:sdt>
        <w:sdtPr>
          <w:id w:val="199742210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국내 주택 경기에 의존하던 구조에서 벗어나 LNG 플랜트, 해외 원전(베트남, 미국 등), 중동 재건 사업 등으로 사업 영역을 확장하며 체질을 개선하고 있습니다.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sdt>
        <w:sdtPr>
          <w:id w:val="53663495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AI 인프라 대응</w:t>
          </w:r>
        </w:sdtContent>
      </w:sdt>
      <w:sdt>
        <w:sdtPr>
          <w:id w:val="61109476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미국의 AI 인프라 투자 확대에 따른 전력 수요 증가에 맞춰 원전 시장에서의 수혜를 기대하고 있습니다.</w:t>
          </w:r>
        </w:sdtContent>
      </w:sdt>
    </w:p>
    <w:p w:rsidR="00000000" w:rsidDel="00000000" w:rsidP="00000000" w:rsidRDefault="00000000" w:rsidRPr="00000000" w14:paraId="00000020">
      <w:pPr>
        <w:rPr>
          <w:b w:val="1"/>
          <w:bCs w:val="1"/>
        </w:rPr>
      </w:pPr>
      <w:sdt>
        <w:sdtPr>
          <w:id w:val="475806405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4. 주의 사항 및 리스크 요인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sdt>
        <w:sdtPr>
          <w:id w:val="-140997679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국내 경기 부진</w:t>
          </w:r>
        </w:sdtContent>
      </w:sdt>
      <w:sdt>
        <w:sdtPr>
          <w:id w:val="2025187300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2025년까지 이어지는 국내 건설 투자 감소와 주택 경기 침체는 여전히 수익성에 부담으로 작용할 수 있습니다.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sdt>
        <w:sdtPr>
          <w:id w:val="633507046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대외 경제 여건</w:t>
          </w:r>
        </w:sdtContent>
      </w:sdt>
      <w:sdt>
        <w:sdtPr>
          <w:id w:val="-1858337899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고물가, 고금리, 고환율로 인한 원자재 가격 상승과 공사비 압박이 마진율을 저해할 리스크가 있습니다.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sdt>
        <w:sdtPr>
          <w:id w:val="1746614801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주가 변동성</w:t>
          </w:r>
        </w:sdtContent>
      </w:sdt>
      <w:sdt>
        <w:sdtPr>
          <w:id w:val="411352419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단기적으로 급등한 종목의 경우 고평가 논란이나 조정 가능성이 존재하므로 신중한 접근이 필요합니다.</w:t>
          </w:r>
        </w:sdtContent>
      </w:sdt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id w:val="-1965210449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시스템 설계도 만들기 </w:t>
          </w:r>
        </w:sdtContent>
      </w:sdt>
    </w:p>
    <w:p w:rsidR="00000000" w:rsidDel="00000000" w:rsidP="00000000" w:rsidRDefault="00000000" w:rsidRPr="00000000" w14:paraId="00000026">
      <w:pPr>
        <w:rPr/>
      </w:pPr>
      <w:sdt>
        <w:sdtPr>
          <w:id w:val="-1039441586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 시스템 설계 문서                                        </w:t>
          </w:r>
        </w:sdtContent>
      </w:sdt>
    </w:p>
    <w:p w:rsidR="00000000" w:rsidDel="00000000" w:rsidP="00000000" w:rsidRDefault="00000000" w:rsidRPr="00000000" w14:paraId="00000027">
      <w:pPr>
        <w:rPr/>
      </w:pPr>
      <w:sdt>
        <w:sdtPr>
          <w:id w:val="479895599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마지막날 1시까지(다음주 월요일)       </w:t>
          </w:r>
        </w:sdtContent>
      </w:sdt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sdt>
        <w:sdtPr>
          <w:id w:val="-6554343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br w:type="textWrapping"/>
            <w:t xml:space="preserve">수요일 오후 2시 시스템 설계도 발표 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sdt>
        <w:sdtPr>
          <w:id w:val="793056188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오늘까지 기간 분배 </w:t>
            <w:br w:type="textWrapping"/>
            <w:t xml:space="preserve">스케줄 픽스 후 어떻게 진행된건지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SA4nH2ErmE3yUhTiFRH3OHjem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DgAciExRlhEMjRfTVd5RzdPdmdPc3Ric0dxQUF0c0laOVF6c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0x010100245BD01BA1CDE74FB2649268C26DEF4F</vt:lpwstr>
  </property>
</Properties>
</file>