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How to read these cases.</w:t>
      </w:r>
      <w:r>
        <w:rPr>
          <w:rFonts w:ascii="Arial" w:cs="Arial" w:eastAsia="Arial" w:hAnsi="Arial"/>
          <w:sz w:val="19"/>
          <w:szCs w:val="19"/>
        </w:rPr>
        <w:t xml:space="preserve"> Only two Blockchain renames fall inside the 2016–2020 wave: Riot Blockchain and Long Blockchain. They are the case studies of RQ2. Bitcoin Depot (2022–23, a SPAC deal) and American Bitcoin (2025, a reverse merger) are outside the wave and carry other deal types, so they are an appendix. Each event is tested on its own with the standardised CAR (SCAR, t-distribution) and the SQ test of Gelbach, Helland &amp; Klick (2013), which compares the event CAR with all same-length windows of the firm's own pre-event abnormal returns. Results are stated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per window</w:t>
      </w:r>
      <w:r>
        <w:rPr>
          <w:rFonts w:ascii="Arial" w:cs="Arial" w:eastAsia="Arial" w:hAnsi="Arial"/>
          <w:sz w:val="19"/>
          <w:szCs w:val="19"/>
        </w:rPr>
        <w:t xml:space="preserve">. Explanations such as leakage, attention or manipulation are offered as possibilities; four firms cannot establish them.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Case study 1 · Riot Blockchain (formerly Bioptix Inc.)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Draft for revision · RQ2 Blockchain case studies · in-wave case, deal type b (pivot) · data from the project notebooks · † = news / secondary source, check against filing · [lit] = place for the literature review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Background and method</w:t>
      </w:r>
    </w:p>
    <w:p>
      <w:pPr>
        <w:spacing w:after="7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Bioptix (PERMNO 92213; formerly AspenBio Pharma and Venaxis) was a struggling Colorado diagnostics company: its appendicitis test had failed, and in January 2017 it decided to exit the BiOptix instrument business it had bought in 2016 [5]. In its last fiscal year before the event it had about $17m of assets, an ROA of −25%, falling sales (−46%) and cash worth 77% of assets; the share traded at $3.55 for a market value of about $19m. On 4 October 2017 it announced that it would rename itself Riot Blockchain and that it had invested in Coinsquare, a Canadian crypto exchange (about $3m for 10.9% †) [1, 2]. The name change took legal effect on 19 October [3]. Date grade A (8-K press release); deal type b, because the rename came with a stated shift of business. Market model on [−250, −30] (α = 0.18%/day, β = 0.95).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Results and findings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 · The announcement, not the legal change, is the event.</w:t>
      </w:r>
      <w:r>
        <w:rPr>
          <w:rFonts w:ascii="Arial" w:cs="Arial" w:eastAsia="Arial" w:hAnsi="Arial"/>
          <w:sz w:val="19"/>
          <w:szCs w:val="19"/>
        </w:rPr>
        <w:t xml:space="preserve"> Around 4 October CAR[−5,+5] is +80.6% (SCAR p &lt; 0.001, SQ p &lt; 0.01) and CAR[−10,+10] +66% (SQ p &lt; 0.01); around the CRSP effective date (19 October) CAR[−5,+5] is −12.9%. The same holds in the full sample: the primary Dot-com CAR[−1,+1] is +8.7% on announcement dates but −0.3% on effective dates.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 · Most of the move came before day 0.</w:t>
      </w:r>
      <w:r>
        <w:rPr>
          <w:rFonts w:ascii="Arial" w:cs="Arial" w:eastAsia="Arial" w:hAnsi="Arial"/>
          <w:sz w:val="19"/>
          <w:szCs w:val="19"/>
        </w:rPr>
        <w:t xml:space="preserve"> 83% of the [−5,+5] CAR accrues on days −5 to −1: the share nearly doubled from $4.11 (25 Sep) to $8.09 (3 Oct), with +25% on both 2 and 3 October and rising volume [6]. CAR[−1,+1] is +14.6%: not significant with the SCAR (p = 0.11) but significant with the SQ test (p = 0.03), which allows for the stock's fat-tailed returns. The early move is consistent with anticipation or leakage (the Coinsquare agreement is dated 29 September); the data cannot tell which.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 · A very large repricing of a micro-cap.</w:t>
      </w:r>
      <w:r>
        <w:rPr>
          <w:rFonts w:ascii="Arial" w:cs="Arial" w:eastAsia="Arial" w:hAnsi="Arial"/>
          <w:sz w:val="19"/>
          <w:szCs w:val="19"/>
        </w:rPr>
        <w:t xml:space="preserve"> Market value rose from about $22m to $45m within seven trading days and to about $373m at the closing high of $38.60 on 19 December 2017 (buy-and-hold +294% to year-end vs +5% for the market). Generic renames in the Blockchain years earned −1.4% on average around their effective date. The roughly $3m Coinsquare stake is small relative to a gain of about $350m.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 · Attention.</w:t>
      </w:r>
      <w:r>
        <w:rPr>
          <w:rFonts w:ascii="Arial" w:cs="Arial" w:eastAsia="Arial" w:hAnsi="Arial"/>
          <w:sz w:val="19"/>
          <w:szCs w:val="19"/>
        </w:rPr>
        <w:t xml:space="preserve"> Abnormal log volume over [−1,+1] is +10.2; daily volume reached 7.9 times its normal level on 3 October and 72 times on 11 October. Volume measures trading activity; it does not identify who traded or why.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 · The typical adopter profile.</w:t>
      </w:r>
      <w:r>
        <w:rPr>
          <w:rFonts w:ascii="Arial" w:cs="Arial" w:eastAsia="Arial" w:hAnsi="Arial"/>
          <w:sz w:val="19"/>
          <w:szCs w:val="19"/>
        </w:rPr>
        <w:t xml:space="preserve"> A small, loss-making, cash-rich firm without a blockchain business adopted the buzzword while leaving a failing business model, the RQ4 pattern in its sharpest form (in-wave AI and Blockchain adopters have the lowest ROA of the three waves).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 · What happened afterwards (descriptive).</w:t>
      </w:r>
      <w:r>
        <w:rPr>
          <w:rFonts w:ascii="Arial" w:cs="Arial" w:eastAsia="Arial" w:hAnsi="Arial"/>
          <w:sz w:val="19"/>
          <w:szCs w:val="19"/>
        </w:rPr>
        <w:t xml:space="preserve"> From the December peak the price fell to $6.36 by April 2018 and $3.45 by October 2018 (buy-and-hold from 4 Oct: −53% vs +14% for the market). This is one firm's price path, not a test of reversal.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 · Governance context.</w:t>
      </w:r>
      <w:r>
        <w:rPr>
          <w:rFonts w:ascii="Arial" w:cs="Arial" w:eastAsia="Arial" w:hAnsi="Arial"/>
          <w:sz w:val="19"/>
          <w:szCs w:val="19"/>
        </w:rPr>
        <w:t xml:space="preserve"> The CEO sold about $870k of shares in January 2018 † [8]; a class action alleged that the rename let controlling shareholders sell at inflated prices (denied by the defendants) [4]; the SEC opened an investigation in 2018 † [11]. The firm later became a large bitcoin miner (Riot Platforms, 2023). [lit]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Draft conclusion and caveats</w:t>
      </w:r>
    </w:p>
    <w:p>
      <w:pPr>
        <w:spacing w:after="7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Riot Blockchain shows a very large reaction tied to the announcement days rather than the legal rename, much of it before day 0, with heavy trading, in a weak micro-cap that pivoted to the buzzword. Caveats: one firm; the market model is estimated on the pre-pivot diagnostics business; the SCAR p-values assume normal returns, which is why the SQ test is added; reasons for the pre-announcement move cannot be identified.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Sources: [1] SEC 8-K, 4 Oct 2017 (sec.gov/Archives/edgar/data/1167419/000107997317000569); [2] 8-K EX-99.1 press release; [3] SEC 10-Q Q3 2017; [4] SEC 10-K FY2017; [5] SEC S-3 (2017); [6] Bloomberg, 4 Oct 2017; [8] CNBC, 2 Jan 2018; [11] The Block (2020). Data: CRSP and Compustat via WRDS; output/core_analysis_results.xlsx, sheet rq2_blockchain_cases.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Case study 2 · Long Blockchain (formerly Long Island Iced Tea Corp.)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Draft for revision · RQ2 Blockchain case studies · in-wave case, deal type b (pivot) · data from the project notebooks · † = news / secondary source, check against filing · [lit] = place for the literature review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Background and method</w:t>
      </w:r>
    </w:p>
    <w:p>
      <w:pPr>
        <w:spacing w:after="7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Long Island Iced Tea Corp. (PERMNO 16175) was a New York maker of ready-to-drink iced tea, with about $5m of annual sales † and a market value of about $24m [2, 3]. In its last fiscal year it had about $8m of assets, an ROA of −134% and cash worth 48% of assets; the share had lost 44% over the previous year ($2.48 at day −30). On 21 December 2017 it announced that it would shift its “primary corporate focus” to blockchain technology and rename itself Long Blockchain Corp., keeping the beverage business as a subsidiary. The release named no project and offered “no assurance” of any blockchain deal [1]. The new name took effect on 5 January 2018. Date grade A; deal type b. Market model on [−250, −30] (α = −0.18%/day, β = −0.11, a sign of very thin trading).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Results and findings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 · A one-day repricing with no named project.</w:t>
      </w:r>
      <w:r>
        <w:rPr>
          <w:rFonts w:ascii="Arial" w:cs="Arial" w:eastAsia="Arial" w:hAnsi="Arial"/>
          <w:sz w:val="19"/>
          <w:szCs w:val="19"/>
        </w:rPr>
        <w:t xml:space="preserve"> The stock rose +183% on the announcement day (from $2.44 to $6.91). CAR[−1,+1] is +188% (SCAR and SQ p &lt; 0.01), and CAR[−5,+5] +188% (p &lt; 0.01): the largest reaction among all in-wave renames. No concrete investment was announced, so the reaction coincides with the stated pivot itself.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 · An unusual day −1.</w:t>
      </w:r>
      <w:r>
        <w:rPr>
          <w:rFonts w:ascii="Arial" w:cs="Arial" w:eastAsia="Arial" w:hAnsi="Arial"/>
          <w:sz w:val="19"/>
          <w:szCs w:val="19"/>
        </w:rPr>
        <w:t xml:space="preserve"> Days −4 to −2 are flat, but day −1 shows +17.5% on volume about 2.8 log points above normal. The SEC later charged three people with insider trading, alleging that a large shareholder tipped a broker the day before the announcement † [6]. For this firm, at least, there is a documented allegation of trading on the news before it was public.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 · Extreme trading activity.</w:t>
      </w:r>
      <w:r>
        <w:rPr>
          <w:rFonts w:ascii="Arial" w:cs="Arial" w:eastAsia="Arial" w:hAnsi="Arial"/>
          <w:sz w:val="19"/>
          <w:szCs w:val="19"/>
        </w:rPr>
        <w:t xml:space="preserve"> 12.7m shares traded on 21 December, about 227 times normal volume; abnormal log volume is +12.5 over [−1,+1].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 · What happened afterwards (descriptive).</w:t>
      </w:r>
      <w:r>
        <w:rPr>
          <w:rFonts w:ascii="Arial" w:cs="Arial" w:eastAsia="Arial" w:hAnsi="Arial"/>
          <w:sz w:val="19"/>
          <w:szCs w:val="19"/>
        </w:rPr>
        <w:t xml:space="preserve"> The price fell 13%, 20% and 15% on the next three trading days and was still +64% after one month. Nasdaq then moved to delist the firm, citing public statements designed to mislead investors; trading was suspended on 12 April 2018 [4], when the buy-and-hold return since the announcement was −71% (market +0.1%).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 · The weakest adopter.</w:t>
      </w:r>
      <w:r>
        <w:rPr>
          <w:rFonts w:ascii="Arial" w:cs="Arial" w:eastAsia="Arial" w:hAnsi="Arial"/>
          <w:sz w:val="19"/>
          <w:szCs w:val="19"/>
        </w:rPr>
        <w:t xml:space="preserve"> With an ROA of −134%, the firm is the least profitable of the cases. Its only tangible plan, to buy about $4.2m of bitcoin-mining machines †, was abandoned [5]; the SEC subpoenaed the company in July 2018 [5] and revoked its registration in 2021 † [7]. [lit]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Draft conclusion and caveats</w:t>
      </w:r>
    </w:p>
    <w:p>
      <w:pPr>
        <w:spacing w:after="7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Long Blockchain is the most extreme case: a near-tripling of market value on an announcement without concrete content, followed by a rapid decline and regulatory action. Caveats: the negative β and low estimation-window volatility reflect thin trading, so the SCAR overstates significance (the SQ test is less affected); CRSP coverage ends with the Nasdaq suspension.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Sources: [1] 8-K EX-99.1 press release, 21 Dec 2017 (sec.gov/Archives/edgar/data/1629261/000149315217014968/ex99-1.htm); [2] SEC 10-K FY2017; [3] CNBC, 21 Dec 2017; [4] SEC 10-Q 2018; [5] Bloomberg, 1 Aug 2018; Coindesk (2018); [6] Coindesk (2021) †; [7] Baker McKenzie Blockchain Blog, 24 Feb 2021. Data: CRSP and Compustat via WRDS; output/.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Appendix case 3 · Bitcoin Depot (formerly GSR II Meteora Acquisition Corp.)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Draft for revision · RQ2 Blockchain case studies · outside the 2016–2020 wave, deal type d (de-SPAC) · data from the project notebooks · † = news / secondary source, check against filing · [lit] = place for the literature review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Background and method</w:t>
      </w:r>
    </w:p>
    <w:p>
      <w:pPr>
        <w:spacing w:after="7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GSR II Meteora (PERMNO 23031) was a SPAC: a listed shell holding about $316m of investors' cash in trust, listed since April 2022. On 25 August 2022 it announced a merger with Bitcoin Depot, a large operator of bitcoin ATMs, at an equity value of about $885m [1, 2]. The deal closed on 30 June 2023 and the combined firm started trading as Bitcoin Depot Inc. on 3 July 2023 [3]. Date grade A: the agreement was signed on 24 August, but the 8-K states that the press release announcing the deal and the new name was issued on 25 August 2022. With only 59 trading days of history, the event uses the market-adjusted model.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Results and findings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 · No reaction at the deal announcement.</w:t>
      </w:r>
      <w:r>
        <w:rPr>
          <w:rFonts w:ascii="Arial" w:cs="Arial" w:eastAsia="Arial" w:hAnsi="Arial"/>
          <w:sz w:val="19"/>
          <w:szCs w:val="19"/>
        </w:rPr>
        <w:t xml:space="preserve"> CAR[−1,+1] −0.2% (SQ p = 0.52); CAR[−5,+5] +0.2% (SQ p = 0.78). The share stayed near its trust value of about $10, because SPAC investors can redeem for the trust cash. A zero reaction therefore says little about the value of the bitcoin business.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 · The fall came at the closing.</w:t>
      </w:r>
      <w:r>
        <w:rPr>
          <w:rFonts w:ascii="Arial" w:cs="Arial" w:eastAsia="Arial" w:hAnsi="Arial"/>
          <w:sz w:val="19"/>
          <w:szCs w:val="19"/>
        </w:rPr>
        <w:t xml:space="preserve"> Around the effective date (3 July 2023), when the redemption anchor disappeared, CAR[−5,+5] is −63%. In the control-group analysis, the five AI de-SPAC closings lose −51% over [−1,+1] against −7% for other SPAC-related renames, consistent with the poor post-merger returns of de-SPACs (Gahng, Ritter &amp; Zhang, 2023).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 · A different kind of adopter.</w:t>
      </w:r>
      <w:r>
        <w:rPr>
          <w:rFonts w:ascii="Arial" w:cs="Arial" w:eastAsia="Arial" w:hAnsi="Arial"/>
          <w:sz w:val="19"/>
          <w:szCs w:val="19"/>
        </w:rPr>
        <w:t xml:space="preserve"> The listed entity was a cash shell, so there are no meaningful pre-event accounts; the buzzword belongs to an operating target with real revenues. This case does not fit the micro-cap pivot profile of Cases 1–2. [lit]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Sources: [1] SEC 8-K EX-99.1, Aug 2022 (sec.gov/Archives/edgar/data/1901799/000119312522239155/d400129dex991.htm); [2] Fortune, 25 Aug 2022; [3] SEC 8-K, July 2023 (sec.gov/Archives/edgar/data/1901799/000119312523183847/d527686d8k.htm). Data: CRSP via WRDS; output/control_group_results.xlsx.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Appendix case 4 · American Bitcoin (formerly Gryphon Digital Mining)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Draft for revision · RQ2 Blockchain case studies · outside the 2016–2020 wave, deal type c (reverse merger) · data from the project notebooks · † = news / secondary source, check against filing · [lit] = place for the literature review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Background and method</w:t>
      </w:r>
    </w:p>
    <w:p>
      <w:pPr>
        <w:spacing w:after="7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Gryphon Digital Mining (PERMNO 17326) was a small bitcoin miner, listed since February 2024 through a reverse merger with Akerna [4]. Before the event it had about $8m of assets, an ROA of −177%, a share price of $0.16 at day −30 and a loss of 89% over the previous year. On 12 May 2025 it announced a stock-for-stock merger with American Bitcoin, a Hut 8 subsidiary backed by Eric Trump and Donald Trump Jr.; Gryphon's holders would keep about 2% of the combined firm, renamed American Bitcoin Corp. [1, 2]. The new name took effect on 2–3 September 2025 after a 5-for-1 reverse split [3]. Date grade A; deal type c.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Results and findings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 · A huge reaction to a reverse merger.</w:t>
      </w:r>
      <w:r>
        <w:rPr>
          <w:rFonts w:ascii="Arial" w:cs="Arial" w:eastAsia="Arial" w:hAnsi="Arial"/>
          <w:sz w:val="19"/>
          <w:szCs w:val="19"/>
        </w:rPr>
        <w:t xml:space="preserve"> CAR[−1,+1] is +181% and CAR[−5,+5] +251% (SCAR and SQ p &lt; 0.01). Because Gryphon holders kept only 2% of the combined firm and the partner was prominent, the reaction cannot be attributed to the name: it is a merger event.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 · A pre-announcement run-up and record volume.</w:t>
      </w:r>
      <w:r>
        <w:rPr>
          <w:rFonts w:ascii="Arial" w:cs="Arial" w:eastAsia="Arial" w:hAnsi="Arial"/>
          <w:sz w:val="19"/>
          <w:szCs w:val="19"/>
        </w:rPr>
        <w:t xml:space="preserve"> About +73% over days −5 to −1, and about 241 times normal volume on the announcement day.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 · What happened afterwards (descriptive).</w:t>
      </w:r>
      <w:r>
        <w:rPr>
          <w:rFonts w:ascii="Arial" w:cs="Arial" w:eastAsia="Arial" w:hAnsi="Arial"/>
          <w:sz w:val="19"/>
          <w:szCs w:val="19"/>
        </w:rPr>
        <w:t xml:space="preserve"> Buy-and-hold returns were +169% after three months and −35% by 31 December 2025 (market +21%); returns are split-adjusted. [lit]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Sources: [1] Gryphon press release, 12 May 2025 (AccessNewswire); SEC Form 425, 12 May 2025 (sec.gov/Archives/edgar/data/1755953/000155837025007399); [2] The Block, May 2025; [3] Gryphon press release, Aug 2025; [4] The Block, 27 Jan 2023. Data: CRSP and Compustat via WRDS; output/.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Summary across the Blockchain cases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Draft for revision · RQ2 Blockchain case studies · two in-wave cases plus two appendix cases · data from the project notebooks · † = news / secondary source, check against filing · [lit] = place for the literature review</w:t>
      </w:r>
    </w:p>
    <w:p>
      <w:pPr>
        <w:spacing w:after="7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With two in-wave cases there is no statistical inference about Blockchain renames; the cases illustrate what the large-sample results can and cannot show.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 · Very large reactions where the price can move and the rename comes with a pivot.</w:t>
      </w:r>
      <w:r>
        <w:rPr>
          <w:rFonts w:ascii="Arial" w:cs="Arial" w:eastAsia="Arial" w:hAnsi="Arial"/>
          <w:sz w:val="19"/>
          <w:szCs w:val="19"/>
        </w:rPr>
        <w:t xml:space="preserve"> Riot (+80.6% over [−5,+5]) and Long Blockchain (+188% over [−1,+1]) are the largest reactions among the in-wave renames, against +8.7% for the primary Dot-com sample and −1.4% for generic renames in the Blockchain years. Both are pivots (deal type b), so the reaction is to the announced change of business as much as to the word.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 · Deal structure decides what is measured.</w:t>
      </w:r>
      <w:r>
        <w:rPr>
          <w:rFonts w:ascii="Arial" w:cs="Arial" w:eastAsia="Arial" w:hAnsi="Arial"/>
          <w:sz w:val="19"/>
          <w:szCs w:val="19"/>
        </w:rPr>
        <w:t xml:space="preserve"> Bitcoin Depot (SPAC deal) shows no announcement reaction because the trust value anchors the price, and a large loss at closing; American Bitcoin's +181% is a reverse-merger event. Neither isolates a name effect, which is why deal types are reported separately (notebook 07).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 · Price moves before day 0.</w:t>
      </w:r>
      <w:r>
        <w:rPr>
          <w:rFonts w:ascii="Arial" w:cs="Arial" w:eastAsia="Arial" w:hAnsi="Arial"/>
          <w:sz w:val="19"/>
          <w:szCs w:val="19"/>
        </w:rPr>
        <w:t xml:space="preserve"> Riot (83% of its [−5,+5] CAR before day 0), Long Blockchain (+17.5% on day −1, later an insider-trading case) and American Bitcoin (+73% over days −5 to −1) all moved before the announcement. This supports using the earliest *public* date and windows wider than [−1,+1]; whether it reflects anticipation, leakage or both cannot be determined from four firms.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 · Heavy trading.</w:t>
      </w:r>
      <w:r>
        <w:rPr>
          <w:rFonts w:ascii="Arial" w:cs="Arial" w:eastAsia="Arial" w:hAnsi="Arial"/>
          <w:sz w:val="19"/>
          <w:szCs w:val="19"/>
        </w:rPr>
        <w:t xml:space="preserve"> Volume reached 72 to 241 times normal in the three free-trading cases, in line with large abnormal volume in every wave.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 · Distressed micro-cap adopters.</w:t>
      </w:r>
      <w:r>
        <w:rPr>
          <w:rFonts w:ascii="Arial" w:cs="Arial" w:eastAsia="Arial" w:hAnsi="Arial"/>
          <w:sz w:val="19"/>
          <w:szCs w:val="19"/>
        </w:rPr>
        <w:t xml:space="preserve"> Riot, Long Blockchain and Gryphon were worth $9–24m, traded as penny stocks and had ROAs between −25% and −177%: the RQ4 profile in extreme form. [lit]</w:t>
      </w:r>
    </w:p>
    <w:p>
      <w:pPr>
        <w:spacing w:after="7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 · Later price paths (descriptive, not tested).</w:t>
      </w:r>
      <w:r>
        <w:rPr>
          <w:rFonts w:ascii="Arial" w:cs="Arial" w:eastAsia="Arial" w:hAnsi="Arial"/>
          <w:sz w:val="19"/>
          <w:szCs w:val="19"/>
        </w:rPr>
        <w:t xml:space="preserve"> All four lost much of their value within a year (Riot −53%, Long Blockchain −71% at suspension, Bitcoin Depot −71%, American Bitcoin −35% by end-2025). Persistence is not tested. [lit]</w:t>
      </w:r>
    </w:p>
    <w:p>
      <w:pPr>
        <w:pStyle w:val="Heading2"/>
        <w:spacing w:before="180" w:after="80"/>
      </w:pPr>
      <w:r>
        <w:rPr>
          <w:rFonts w:ascii="Arial" w:cs="Arial" w:eastAsia="Arial" w:hAnsi="Arial"/>
        </w:rPr>
        <w:t xml:space="preserve">Draft overall conclusion</w:t>
      </w:r>
    </w:p>
    <w:p>
      <w:pPr>
        <w:spacing w:after="7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The two in-wave Blockchain renames show very large, attention-heavy reactions concentrated around the announcement, in distressed micro-caps that announced a pivot to the buzzword. The two later cases show that once the label arrives through a SPAC or a reverse merger, the announcement reaction measures the transaction rather than the name. These are illustrations, not tests: they complement, but cannot replace, the Dot-com evidence and the control-group comparison.</w:t>
      </w:r>
    </w:p>
    <w:p>
      <w:pPr>
        <w:spacing w:after="60" w:line="276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Sources: Cases 1–4 above; output/ (core_analysis_results.xlsx, control_group_results.xlsx, confounding_sensitivity_results.xlsx).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Blockchain case studies ·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2026-10-22T15:45:39.491Z</dcterms:created>
  <dcterms:modified xsi:type="dcterms:W3CDTF">2026-10-22T15:45:39.492Z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