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Call</w:t>
      </w:r>
      <w:r>
        <w:t xml:space="preserve"> </w:t>
      </w:r>
      <w:r>
        <w:t xml:space="preserve">somatic</w:t>
      </w:r>
      <w:r>
        <w:t xml:space="preserve"> </w:t>
      </w:r>
      <w:r>
        <w:t xml:space="preserve">mutation</w:t>
      </w:r>
      <w:r>
        <w:t xml:space="preserve"> </w:t>
      </w:r>
      <w:r>
        <w:t xml:space="preserve">in</w:t>
      </w:r>
      <w:r>
        <w:t xml:space="preserve"> </w:t>
      </w:r>
      <w:r>
        <w:t xml:space="preserve">regulatory</w:t>
      </w:r>
      <w:r>
        <w:t xml:space="preserve"> </w:t>
      </w:r>
      <w:r>
        <w:t xml:space="preserve">region</w:t>
      </w:r>
      <w:r>
        <w:t xml:space="preserve"> </w:t>
      </w:r>
      <w:r>
        <w:t xml:space="preserve">from</w:t>
      </w:r>
      <w:r>
        <w:t xml:space="preserve"> </w:t>
      </w:r>
      <w:r>
        <w:t xml:space="preserve">TCGA-BRCA</w:t>
      </w:r>
      <w:r>
        <w:t xml:space="preserve"> </w:t>
      </w:r>
      <w:r>
        <w:t xml:space="preserve">WXS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C.J.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12/28/2016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ackgrounds"/>
      <w:bookmarkEnd w:id="21"/>
      <w:r>
        <w:t xml:space="preserve">Backgrounds</w:t>
      </w:r>
    </w:p>
    <w:p>
      <w:pPr>
        <w:pStyle w:val="FirstParagraph"/>
      </w:pPr>
      <w:r>
        <w:t xml:space="preserve">hi</w:t>
      </w:r>
    </w:p>
    <w:p>
      <w:pPr>
        <w:pStyle w:val="Heading2"/>
      </w:pPr>
      <w:bookmarkStart w:id="22" w:name="mutations-in-promoter-research"/>
      <w:bookmarkEnd w:id="22"/>
      <w:r>
        <w:t xml:space="preserve">Mutations in promoter research</w:t>
      </w:r>
    </w:p>
    <w:p>
      <w:pPr>
        <w:pStyle w:val="FirstParagraph"/>
      </w:pPr>
      <w:r>
        <w:t xml:space="preserve">hi</w:t>
      </w:r>
    </w:p>
    <w:p>
      <w:pPr>
        <w:pStyle w:val="Heading2"/>
      </w:pPr>
      <w:bookmarkStart w:id="23" w:name="wxs-capture-rate"/>
      <w:bookmarkEnd w:id="23"/>
      <w:r>
        <w:t xml:space="preserve">WXS capture rate</w:t>
      </w:r>
    </w:p>
    <w:p>
      <w:pPr>
        <w:pStyle w:val="FirstParagraph"/>
      </w:pPr>
      <w:r>
        <w:t xml:space="preserve">hi</w:t>
      </w:r>
    </w:p>
    <w:p>
      <w:pPr>
        <w:pStyle w:val="Heading1"/>
      </w:pPr>
      <w:bookmarkStart w:id="24" w:name="challenges"/>
      <w:bookmarkEnd w:id="24"/>
      <w:r>
        <w:t xml:space="preserve">Challenges</w:t>
      </w:r>
    </w:p>
    <w:p>
      <w:pPr>
        <w:pStyle w:val="FirstParagraph"/>
      </w:pPr>
      <w:r>
        <w:t xml:space="preserve">hi</w:t>
      </w:r>
    </w:p>
    <w:p>
      <w:pPr>
        <w:pStyle w:val="Heading2"/>
      </w:pPr>
      <w:bookmarkStart w:id="25" w:name="regulatory-region"/>
      <w:bookmarkEnd w:id="25"/>
      <w:r>
        <w:t xml:space="preserve">Regulatory region</w:t>
      </w:r>
    </w:p>
    <w:p>
      <w:pPr>
        <w:pStyle w:val="FirstParagraph"/>
      </w:pPr>
      <w:r>
        <w:t xml:space="preserve">hi</w:t>
      </w:r>
    </w:p>
    <w:p>
      <w:pPr>
        <w:pStyle w:val="Heading2"/>
      </w:pPr>
      <w:bookmarkStart w:id="26" w:name="wxs-data-statistics"/>
      <w:bookmarkEnd w:id="26"/>
      <w:r>
        <w:t xml:space="preserve">WXS data statistics</w:t>
      </w:r>
    </w:p>
    <w:p>
      <w:pPr>
        <w:pStyle w:val="FirstParagraph"/>
      </w:pPr>
      <w:r>
        <w:drawing>
          <wp:inline>
            <wp:extent cx="5334000" cy="38054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s/1.casePairsDistribu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054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s/2.sampleTypeDistribu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054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s/3.dataStorageComsup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hi</w:t>
      </w:r>
    </w:p>
    <w:p>
      <w:pPr>
        <w:pStyle w:val="Heading2"/>
      </w:pPr>
      <w:bookmarkStart w:id="30" w:name="somatic-calling"/>
      <w:bookmarkEnd w:id="30"/>
      <w:r>
        <w:t xml:space="preserve">Somatic calling</w:t>
      </w:r>
    </w:p>
    <w:p>
      <w:pPr>
        <w:pStyle w:val="FirstParagraph"/>
      </w:pPr>
      <w:r>
        <w:drawing>
          <wp:inline>
            <wp:extent cx="47498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s/4.somaticCallingPipe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hi</w:t>
      </w:r>
    </w:p>
    <w:p>
      <w:pPr>
        <w:pStyle w:val="Heading1"/>
      </w:pPr>
      <w:bookmarkStart w:id="32" w:name="result"/>
      <w:bookmarkEnd w:id="32"/>
      <w:r>
        <w:t xml:space="preserve">Result</w:t>
      </w:r>
    </w:p>
    <w:p>
      <w:pPr>
        <w:pStyle w:val="Heading2"/>
      </w:pPr>
      <w:bookmarkStart w:id="33" w:name="wxs-data"/>
      <w:bookmarkEnd w:id="33"/>
      <w:r>
        <w:t xml:space="preserve">WXS data</w:t>
      </w:r>
    </w:p>
    <w:p>
      <w:pPr>
        <w:pStyle w:val="FirstParagraph"/>
      </w:pPr>
      <w:r>
        <w:t xml:space="preserve">hi</w:t>
      </w:r>
      <w:r>
        <w:t xml:space="preserve"> </w:t>
      </w:r>
      <w:r>
        <w:drawing>
          <wp:inline>
            <wp:extent cx="5334000" cy="43044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s/5.extractedFileRatioViol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920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s/6.meanCoverageInRegulatoryReg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920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s/7.medianCoverageInRegulatoryReg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1643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s/8.fileSizeRatioOfRegulatoryToWholeData.Norm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1643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s/9.fileSizeRatioOfRegulatoryToWholeData.Tum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375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s/10.mutationNumberAndFileS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andidate-mutation"/>
      <w:bookmarkEnd w:id="40"/>
      <w:r>
        <w:t xml:space="preserve">Candidate mutation</w:t>
      </w:r>
    </w:p>
    <w:p>
      <w:pPr>
        <w:pStyle w:val="FirstParagraph"/>
      </w:pPr>
      <w:r>
        <w:t xml:space="preserve">hi</w:t>
      </w:r>
      <w:r>
        <w:t xml:space="preserve"> </w:t>
      </w:r>
      <w:r>
        <w:drawing>
          <wp:inline>
            <wp:extent cx="5334000" cy="47201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s/11.somaticMutationStat.to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9640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s/12.somaticMutationStat.recur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4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4026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s/13.somaticMutationStat.recur5.ratio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mutation-target-protein-coding-genes"/>
      <w:bookmarkEnd w:id="44"/>
      <w:r>
        <w:t xml:space="preserve">Mutation target protein coding genes</w:t>
      </w:r>
    </w:p>
    <w:p>
      <w:pPr>
        <w:pStyle w:val="FirstParagraph"/>
      </w:pPr>
      <w:r>
        <w:t xml:space="preserve">hi</w:t>
      </w:r>
    </w:p>
    <w:p>
      <w:pPr>
        <w:pStyle w:val="Heading2"/>
      </w:pPr>
      <w:bookmarkStart w:id="45" w:name="target-genes-expression"/>
      <w:bookmarkEnd w:id="45"/>
      <w:r>
        <w:t xml:space="preserve">Target genes expression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s/14.PRSS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s/15.PDE4DI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s/16.PDE4DIP.2norm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hi</w:t>
      </w:r>
    </w:p>
    <w:p>
      <w:pPr>
        <w:pStyle w:val="Heading2"/>
      </w:pPr>
      <w:bookmarkStart w:id="49" w:name="pde4dip"/>
      <w:bookmarkEnd w:id="49"/>
      <w:r>
        <w:t xml:space="preserve">PDE4DIP</w:t>
      </w:r>
    </w:p>
    <w:p>
      <w:pPr>
        <w:pStyle w:val="Heading3"/>
      </w:pPr>
      <w:bookmarkStart w:id="50" w:name="regulomedb"/>
      <w:bookmarkEnd w:id="50"/>
      <w:r>
        <w:t xml:space="preserve">RegulomeDB</w:t>
      </w:r>
    </w:p>
    <w:p>
      <w:pPr>
        <w:pStyle w:val="FirstParagraph"/>
      </w:pPr>
      <w:r>
        <w:t xml:space="preserve">hi</w:t>
      </w:r>
    </w:p>
    <w:p>
      <w:pPr>
        <w:pStyle w:val="Heading3"/>
      </w:pPr>
      <w:bookmarkStart w:id="51" w:name="motif-near-pde4dip"/>
      <w:bookmarkEnd w:id="51"/>
      <w:r>
        <w:t xml:space="preserve">Motif near PDE4DIP</w:t>
      </w:r>
    </w:p>
    <w:p>
      <w:pPr>
        <w:pStyle w:val="FirstParagraph"/>
      </w:pPr>
      <w:r>
        <w:t xml:space="preserve">hi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74e2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 somatic mutation in regulatory region from TCGA-BRCA WXS data</dc:title>
  <dc:creator>C.J. Liu</dc:creator>
  <dcterms:created xsi:type="dcterms:W3CDTF">2016-12-28</dcterms:created>
  <dcterms:modified xsi:type="dcterms:W3CDTF">2016-12-28</dcterms:modified>
</cp:coreProperties>
</file>