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5096A6C" w:rsidP="35096A6C" w:rsidRDefault="35096A6C" w14:paraId="3F08BB61" w14:textId="380A5D29">
      <w:pPr>
        <w:pStyle w:val="Normal"/>
        <w:jc w:val="left"/>
        <w:rPr>
          <w:rFonts w:ascii="Times New Roman" w:hAnsi="Times New Roman" w:eastAsia="Times New Roman" w:cs="Times New Roman"/>
          <w:b w:val="1"/>
          <w:bCs w:val="1"/>
          <w:noProof w:val="0"/>
          <w:sz w:val="24"/>
          <w:szCs w:val="24"/>
          <w:u w:val="single"/>
          <w:lang w:val="en-US"/>
        </w:rPr>
      </w:pPr>
      <w:r w:rsidRPr="35096A6C" w:rsidR="35096A6C">
        <w:rPr>
          <w:rFonts w:ascii="Times New Roman" w:hAnsi="Times New Roman" w:eastAsia="Times New Roman" w:cs="Times New Roman"/>
          <w:b w:val="1"/>
          <w:bCs w:val="1"/>
          <w:noProof w:val="0"/>
          <w:sz w:val="24"/>
          <w:szCs w:val="24"/>
          <w:u w:val="single"/>
          <w:lang w:val="en-US"/>
        </w:rPr>
        <w:t>Bibliographic Information:</w:t>
      </w:r>
    </w:p>
    <w:p w:rsidR="35096A6C" w:rsidP="35096A6C" w:rsidRDefault="35096A6C" w14:paraId="3DDA2185" w14:textId="5375F51B">
      <w:pPr>
        <w:pStyle w:val="Normal"/>
        <w:jc w:val="both"/>
        <w:rPr>
          <w:rFonts w:ascii="Times New Roman" w:hAnsi="Times New Roman" w:eastAsia="Times New Roman" w:cs="Times New Roman"/>
          <w:noProof w:val="0"/>
          <w:sz w:val="22"/>
          <w:szCs w:val="22"/>
          <w:lang w:val="en-US"/>
        </w:rPr>
      </w:pPr>
      <w:r w:rsidRPr="35096A6C" w:rsidR="35096A6C">
        <w:rPr>
          <w:rFonts w:ascii="Times New Roman" w:hAnsi="Times New Roman" w:eastAsia="Times New Roman" w:cs="Times New Roman"/>
          <w:noProof w:val="0"/>
          <w:sz w:val="22"/>
          <w:szCs w:val="22"/>
          <w:lang w:val="en-US"/>
        </w:rPr>
        <w:t>Pham</w:t>
      </w:r>
      <w:r w:rsidRPr="35096A6C" w:rsidR="35096A6C">
        <w:rPr>
          <w:rFonts w:ascii="Times New Roman" w:hAnsi="Times New Roman" w:eastAsia="Times New Roman" w:cs="Times New Roman"/>
          <w:noProof w:val="0"/>
          <w:sz w:val="22"/>
          <w:szCs w:val="22"/>
          <w:lang w:val="en-US"/>
        </w:rPr>
        <w:t xml:space="preserve"> </w:t>
      </w:r>
      <w:r w:rsidRPr="35096A6C" w:rsidR="35096A6C">
        <w:rPr>
          <w:rFonts w:ascii="Times New Roman" w:hAnsi="Times New Roman" w:eastAsia="Times New Roman" w:cs="Times New Roman"/>
          <w:noProof w:val="0"/>
          <w:sz w:val="22"/>
          <w:szCs w:val="22"/>
          <w:lang w:val="en-US"/>
        </w:rPr>
        <w:t>VH, Zhang</w:t>
      </w:r>
      <w:r w:rsidRPr="35096A6C" w:rsidR="35096A6C">
        <w:rPr>
          <w:rFonts w:ascii="Times New Roman" w:hAnsi="Times New Roman" w:eastAsia="Times New Roman" w:cs="Times New Roman"/>
          <w:noProof w:val="0"/>
          <w:sz w:val="22"/>
          <w:szCs w:val="22"/>
          <w:lang w:val="en-US"/>
        </w:rPr>
        <w:t xml:space="preserve"> </w:t>
      </w:r>
      <w:r w:rsidRPr="35096A6C" w:rsidR="35096A6C">
        <w:rPr>
          <w:rFonts w:ascii="Times New Roman" w:hAnsi="Times New Roman" w:eastAsia="Times New Roman" w:cs="Times New Roman"/>
          <w:noProof w:val="0"/>
          <w:sz w:val="22"/>
          <w:szCs w:val="22"/>
          <w:lang w:val="en-US"/>
        </w:rPr>
        <w:t>J, Liu</w:t>
      </w:r>
      <w:r w:rsidRPr="35096A6C" w:rsidR="35096A6C">
        <w:rPr>
          <w:rFonts w:ascii="Times New Roman" w:hAnsi="Times New Roman" w:eastAsia="Times New Roman" w:cs="Times New Roman"/>
          <w:noProof w:val="0"/>
          <w:sz w:val="22"/>
          <w:szCs w:val="22"/>
          <w:lang w:val="en-US"/>
        </w:rPr>
        <w:t xml:space="preserve"> </w:t>
      </w:r>
      <w:r w:rsidRPr="35096A6C" w:rsidR="35096A6C">
        <w:rPr>
          <w:rFonts w:ascii="Times New Roman" w:hAnsi="Times New Roman" w:eastAsia="Times New Roman" w:cs="Times New Roman"/>
          <w:noProof w:val="0"/>
          <w:sz w:val="22"/>
          <w:szCs w:val="22"/>
          <w:lang w:val="en-US"/>
        </w:rPr>
        <w:t>L, Truong</w:t>
      </w:r>
      <w:r w:rsidRPr="35096A6C" w:rsidR="35096A6C">
        <w:rPr>
          <w:rFonts w:ascii="Times New Roman" w:hAnsi="Times New Roman" w:eastAsia="Times New Roman" w:cs="Times New Roman"/>
          <w:noProof w:val="0"/>
          <w:sz w:val="22"/>
          <w:szCs w:val="22"/>
          <w:lang w:val="en-US"/>
        </w:rPr>
        <w:t xml:space="preserve"> </w:t>
      </w:r>
      <w:r w:rsidRPr="35096A6C" w:rsidR="35096A6C">
        <w:rPr>
          <w:rFonts w:ascii="Times New Roman" w:hAnsi="Times New Roman" w:eastAsia="Times New Roman" w:cs="Times New Roman"/>
          <w:noProof w:val="0"/>
          <w:sz w:val="22"/>
          <w:szCs w:val="22"/>
          <w:lang w:val="en-US"/>
        </w:rPr>
        <w:t>B, Xu</w:t>
      </w:r>
      <w:r w:rsidRPr="35096A6C" w:rsidR="35096A6C">
        <w:rPr>
          <w:rFonts w:ascii="Times New Roman" w:hAnsi="Times New Roman" w:eastAsia="Times New Roman" w:cs="Times New Roman"/>
          <w:noProof w:val="0"/>
          <w:sz w:val="22"/>
          <w:szCs w:val="22"/>
          <w:lang w:val="en-US"/>
        </w:rPr>
        <w:t xml:space="preserve"> </w:t>
      </w:r>
      <w:r w:rsidRPr="35096A6C" w:rsidR="35096A6C">
        <w:rPr>
          <w:rFonts w:ascii="Times New Roman" w:hAnsi="Times New Roman" w:eastAsia="Times New Roman" w:cs="Times New Roman"/>
          <w:noProof w:val="0"/>
          <w:sz w:val="22"/>
          <w:szCs w:val="22"/>
          <w:lang w:val="en-US"/>
        </w:rPr>
        <w:t>T, Nguyen</w:t>
      </w:r>
      <w:r w:rsidRPr="35096A6C" w:rsidR="35096A6C">
        <w:rPr>
          <w:rFonts w:ascii="Times New Roman" w:hAnsi="Times New Roman" w:eastAsia="Times New Roman" w:cs="Times New Roman"/>
          <w:noProof w:val="0"/>
          <w:sz w:val="22"/>
          <w:szCs w:val="22"/>
          <w:lang w:val="en-US"/>
        </w:rPr>
        <w:t xml:space="preserve"> </w:t>
      </w:r>
      <w:r w:rsidRPr="35096A6C" w:rsidR="35096A6C">
        <w:rPr>
          <w:rFonts w:ascii="Times New Roman" w:hAnsi="Times New Roman" w:eastAsia="Times New Roman" w:cs="Times New Roman"/>
          <w:noProof w:val="0"/>
          <w:sz w:val="22"/>
          <w:szCs w:val="22"/>
          <w:lang w:val="en-US"/>
        </w:rPr>
        <w:t>TT, Li</w:t>
      </w:r>
      <w:r w:rsidRPr="35096A6C" w:rsidR="35096A6C">
        <w:rPr>
          <w:rFonts w:ascii="Times New Roman" w:hAnsi="Times New Roman" w:eastAsia="Times New Roman" w:cs="Times New Roman"/>
          <w:noProof w:val="0"/>
          <w:sz w:val="22"/>
          <w:szCs w:val="22"/>
          <w:lang w:val="en-US"/>
        </w:rPr>
        <w:t xml:space="preserve"> </w:t>
      </w:r>
      <w:r w:rsidRPr="35096A6C" w:rsidR="35096A6C">
        <w:rPr>
          <w:rFonts w:ascii="Times New Roman" w:hAnsi="Times New Roman" w:eastAsia="Times New Roman" w:cs="Times New Roman"/>
          <w:noProof w:val="0"/>
          <w:sz w:val="22"/>
          <w:szCs w:val="22"/>
          <w:lang w:val="en-US"/>
        </w:rPr>
        <w:t>J and Le</w:t>
      </w:r>
      <w:r w:rsidRPr="35096A6C" w:rsidR="35096A6C">
        <w:rPr>
          <w:rFonts w:ascii="Times New Roman" w:hAnsi="Times New Roman" w:eastAsia="Times New Roman" w:cs="Times New Roman"/>
          <w:noProof w:val="0"/>
          <w:sz w:val="22"/>
          <w:szCs w:val="22"/>
          <w:lang w:val="en-US"/>
        </w:rPr>
        <w:t xml:space="preserve"> </w:t>
      </w:r>
      <w:r w:rsidRPr="35096A6C" w:rsidR="35096A6C">
        <w:rPr>
          <w:rFonts w:ascii="Times New Roman" w:hAnsi="Times New Roman" w:eastAsia="Times New Roman" w:cs="Times New Roman"/>
          <w:noProof w:val="0"/>
          <w:sz w:val="22"/>
          <w:szCs w:val="22"/>
          <w:lang w:val="en-US"/>
        </w:rPr>
        <w:t>TD, “</w:t>
      </w:r>
      <w:r w:rsidRPr="35096A6C" w:rsidR="35096A6C">
        <w:rPr>
          <w:rFonts w:ascii="Times New Roman" w:hAnsi="Times New Roman" w:eastAsia="Times New Roman" w:cs="Times New Roman"/>
          <w:noProof w:val="0"/>
          <w:sz w:val="22"/>
          <w:szCs w:val="22"/>
          <w:lang w:val="en-US"/>
        </w:rPr>
        <w:t>Identifying miRNA-mRNA regulatory relationships in breast cancer with invariant causal prediction</w:t>
      </w:r>
      <w:r w:rsidRPr="35096A6C" w:rsidR="35096A6C">
        <w:rPr>
          <w:rFonts w:ascii="Times New Roman" w:hAnsi="Times New Roman" w:eastAsia="Times New Roman" w:cs="Times New Roman"/>
          <w:noProof w:val="0"/>
          <w:sz w:val="22"/>
          <w:szCs w:val="22"/>
          <w:lang w:val="en-US"/>
        </w:rPr>
        <w:t>”</w:t>
      </w:r>
      <w:r w:rsidRPr="35096A6C" w:rsidR="35096A6C">
        <w:rPr>
          <w:rFonts w:ascii="Times New Roman" w:hAnsi="Times New Roman" w:eastAsia="Times New Roman" w:cs="Times New Roman"/>
          <w:noProof w:val="0"/>
          <w:sz w:val="22"/>
          <w:szCs w:val="22"/>
          <w:lang w:val="en-US"/>
        </w:rPr>
        <w:t>, Pham et al BMC Bioinformatics (2019) 20:143, https://doi.org/10.1186/s12859-019-2668-x.</w:t>
      </w:r>
    </w:p>
    <w:p w:rsidR="35096A6C" w:rsidP="35096A6C" w:rsidRDefault="35096A6C" w14:paraId="673B818C" w14:textId="476D6724">
      <w:pPr>
        <w:pStyle w:val="Normal"/>
        <w:jc w:val="left"/>
        <w:rPr>
          <w:rFonts w:ascii="Times New Roman" w:hAnsi="Times New Roman" w:eastAsia="Times New Roman" w:cs="Times New Roman"/>
          <w:b w:val="1"/>
          <w:bCs w:val="1"/>
          <w:noProof w:val="0"/>
          <w:sz w:val="24"/>
          <w:szCs w:val="24"/>
          <w:u w:val="single"/>
          <w:lang w:val="en-US"/>
        </w:rPr>
      </w:pPr>
      <w:r w:rsidRPr="35096A6C" w:rsidR="35096A6C">
        <w:rPr>
          <w:rFonts w:ascii="Times New Roman" w:hAnsi="Times New Roman" w:eastAsia="Times New Roman" w:cs="Times New Roman"/>
          <w:b w:val="1"/>
          <w:bCs w:val="1"/>
          <w:noProof w:val="0"/>
          <w:sz w:val="24"/>
          <w:szCs w:val="24"/>
          <w:u w:val="single"/>
          <w:lang w:val="en-US"/>
        </w:rPr>
        <w:t>Key Points:</w:t>
      </w:r>
    </w:p>
    <w:p w:rsidR="35096A6C" w:rsidP="35096A6C" w:rsidRDefault="35096A6C" w14:paraId="08DC4A7B" w14:textId="673000CC">
      <w:pPr>
        <w:pStyle w:val="Normal"/>
        <w:jc w:val="both"/>
        <w:rPr>
          <w:rFonts w:ascii="Times New Roman" w:hAnsi="Times New Roman" w:eastAsia="Times New Roman" w:cs="Times New Roman"/>
          <w:noProof w:val="0"/>
          <w:sz w:val="22"/>
          <w:szCs w:val="22"/>
          <w:lang w:val="en-US"/>
        </w:rPr>
      </w:pPr>
      <w:r w:rsidRPr="35096A6C" w:rsidR="35096A6C">
        <w:rPr>
          <w:rFonts w:ascii="Times New Roman" w:hAnsi="Times New Roman" w:eastAsia="Times New Roman" w:cs="Times New Roman"/>
          <w:noProof w:val="0"/>
          <w:sz w:val="22"/>
          <w:szCs w:val="22"/>
          <w:lang w:val="en-US"/>
        </w:rPr>
        <w:t>In this paper, the authors proposed an approach to identify miRNA-mRNA regulatory relationships in “Breast Cancer” by exploiting the invariant causal prediction technique. The key points of this paper are described below:</w:t>
      </w:r>
    </w:p>
    <w:p w:rsidR="35096A6C" w:rsidP="35096A6C" w:rsidRDefault="35096A6C" w14:paraId="0A086D4F" w14:textId="5BA68FF8">
      <w:pPr>
        <w:pStyle w:val="ListParagraph"/>
        <w:numPr>
          <w:ilvl w:val="0"/>
          <w:numId w:val="1"/>
        </w:numPr>
        <w:jc w:val="both"/>
        <w:rPr>
          <w:noProof w:val="0"/>
          <w:sz w:val="22"/>
          <w:szCs w:val="22"/>
          <w:lang w:val="en-US"/>
        </w:rPr>
      </w:pPr>
      <w:r w:rsidRPr="35096A6C" w:rsidR="35096A6C">
        <w:rPr>
          <w:rFonts w:ascii="Times New Roman" w:hAnsi="Times New Roman" w:eastAsia="Times New Roman" w:cs="Times New Roman"/>
          <w:noProof w:val="0"/>
          <w:sz w:val="22"/>
          <w:szCs w:val="22"/>
          <w:lang w:val="en-US"/>
        </w:rPr>
        <w:t xml:space="preserve">Existing computational methods for inferring miRNA-mRNA regulatory relationships have high computational complexity in case of large dataset. In this paper, parallel processing-technique has been employed for the casual method </w:t>
      </w:r>
      <w:proofErr w:type="spellStart"/>
      <w:r w:rsidRPr="35096A6C" w:rsidR="35096A6C">
        <w:rPr>
          <w:rFonts w:ascii="Times New Roman" w:hAnsi="Times New Roman" w:eastAsia="Times New Roman" w:cs="Times New Roman"/>
          <w:noProof w:val="0"/>
          <w:sz w:val="22"/>
          <w:szCs w:val="22"/>
          <w:lang w:val="en-US"/>
        </w:rPr>
        <w:t>jointIDA</w:t>
      </w:r>
      <w:proofErr w:type="spellEnd"/>
      <w:r w:rsidRPr="35096A6C" w:rsidR="35096A6C">
        <w:rPr>
          <w:rFonts w:ascii="Times New Roman" w:hAnsi="Times New Roman" w:eastAsia="Times New Roman" w:cs="Times New Roman"/>
          <w:noProof w:val="0"/>
          <w:sz w:val="22"/>
          <w:szCs w:val="22"/>
          <w:lang w:val="en-US"/>
        </w:rPr>
        <w:t xml:space="preserve"> by using its parallel implementation in the </w:t>
      </w:r>
      <w:proofErr w:type="spellStart"/>
      <w:r w:rsidRPr="35096A6C" w:rsidR="35096A6C">
        <w:rPr>
          <w:rFonts w:ascii="Times New Roman" w:hAnsi="Times New Roman" w:eastAsia="Times New Roman" w:cs="Times New Roman"/>
          <w:noProof w:val="0"/>
          <w:sz w:val="22"/>
          <w:szCs w:val="22"/>
          <w:lang w:val="en-US"/>
        </w:rPr>
        <w:t>ParallelIPC</w:t>
      </w:r>
      <w:proofErr w:type="spellEnd"/>
      <w:r w:rsidRPr="35096A6C" w:rsidR="35096A6C">
        <w:rPr>
          <w:rFonts w:ascii="Times New Roman" w:hAnsi="Times New Roman" w:eastAsia="Times New Roman" w:cs="Times New Roman"/>
          <w:noProof w:val="0"/>
          <w:sz w:val="22"/>
          <w:szCs w:val="22"/>
          <w:lang w:val="en-US"/>
        </w:rPr>
        <w:t>. The breast adenocarcinoma (BRCA) dataset of The Cancer Genome Atlas (TCGA) is classified into 5 different breast cancer subtypes. These subtypes are called “different environment”.</w:t>
      </w:r>
    </w:p>
    <w:p w:rsidR="35096A6C" w:rsidP="35096A6C" w:rsidRDefault="35096A6C" w14:paraId="66AFE15D" w14:textId="65CFD588">
      <w:pPr>
        <w:pStyle w:val="ListParagraph"/>
        <w:numPr>
          <w:ilvl w:val="0"/>
          <w:numId w:val="1"/>
        </w:numPr>
        <w:jc w:val="both"/>
        <w:rPr>
          <w:noProof w:val="0"/>
          <w:sz w:val="22"/>
          <w:szCs w:val="22"/>
          <w:lang w:val="en-US"/>
        </w:rPr>
      </w:pPr>
      <w:r w:rsidRPr="35096A6C" w:rsidR="35096A6C">
        <w:rPr>
          <w:rFonts w:ascii="Times New Roman" w:hAnsi="Times New Roman" w:eastAsia="Times New Roman" w:cs="Times New Roman"/>
          <w:noProof w:val="0"/>
          <w:sz w:val="22"/>
          <w:szCs w:val="22"/>
          <w:lang w:val="en-US"/>
        </w:rPr>
        <w:t>The proposed approached has three main steps:</w:t>
      </w:r>
    </w:p>
    <w:p w:rsidR="35096A6C" w:rsidP="35096A6C" w:rsidRDefault="35096A6C" w14:paraId="2651A501" w14:textId="35F9C8AA">
      <w:pPr>
        <w:pStyle w:val="ListParagraph"/>
        <w:numPr>
          <w:ilvl w:val="1"/>
          <w:numId w:val="1"/>
        </w:numPr>
        <w:jc w:val="both"/>
        <w:rPr>
          <w:noProof w:val="0"/>
          <w:sz w:val="22"/>
          <w:szCs w:val="22"/>
          <w:lang w:val="en-US"/>
        </w:rPr>
      </w:pPr>
      <w:r w:rsidRPr="35096A6C" w:rsidR="35096A6C">
        <w:rPr>
          <w:rFonts w:ascii="Times New Roman" w:hAnsi="Times New Roman" w:eastAsia="Times New Roman" w:cs="Times New Roman"/>
          <w:noProof w:val="0"/>
          <w:sz w:val="22"/>
          <w:szCs w:val="22"/>
          <w:lang w:val="en-US"/>
        </w:rPr>
        <w:t xml:space="preserve">Selecting miRNAs and mRNAs with most expression variability: The matched miRNA and mRNA expression samples are extracted from the BRCA dataset of TCGA. In total 503 samples with matched miRNA and mRNA expression are selected and stored in additional file. Then </w:t>
      </w:r>
      <w:proofErr w:type="spellStart"/>
      <w:r w:rsidRPr="35096A6C" w:rsidR="35096A6C">
        <w:rPr>
          <w:rFonts w:ascii="Times New Roman" w:hAnsi="Times New Roman" w:eastAsia="Times New Roman" w:cs="Times New Roman"/>
          <w:noProof w:val="0"/>
          <w:sz w:val="22"/>
          <w:szCs w:val="22"/>
          <w:lang w:val="en-US"/>
        </w:rPr>
        <w:t>FSbyMAD</w:t>
      </w:r>
      <w:proofErr w:type="spellEnd"/>
      <w:r w:rsidRPr="35096A6C" w:rsidR="35096A6C">
        <w:rPr>
          <w:rFonts w:ascii="Times New Roman" w:hAnsi="Times New Roman" w:eastAsia="Times New Roman" w:cs="Times New Roman"/>
          <w:noProof w:val="0"/>
          <w:sz w:val="22"/>
          <w:szCs w:val="22"/>
          <w:lang w:val="en-US"/>
        </w:rPr>
        <w:t xml:space="preserve"> function of the </w:t>
      </w:r>
      <w:proofErr w:type="spellStart"/>
      <w:r w:rsidRPr="35096A6C" w:rsidR="35096A6C">
        <w:rPr>
          <w:rFonts w:ascii="Times New Roman" w:hAnsi="Times New Roman" w:eastAsia="Times New Roman" w:cs="Times New Roman"/>
          <w:noProof w:val="0"/>
          <w:sz w:val="22"/>
          <w:szCs w:val="22"/>
          <w:lang w:val="en-US"/>
        </w:rPr>
        <w:t>Cancersubtypes</w:t>
      </w:r>
      <w:proofErr w:type="spellEnd"/>
      <w:r w:rsidRPr="35096A6C" w:rsidR="35096A6C">
        <w:rPr>
          <w:rFonts w:ascii="Times New Roman" w:hAnsi="Times New Roman" w:eastAsia="Times New Roman" w:cs="Times New Roman"/>
          <w:noProof w:val="0"/>
          <w:sz w:val="22"/>
          <w:szCs w:val="22"/>
          <w:lang w:val="en-US"/>
        </w:rPr>
        <w:t xml:space="preserve"> package has been used to select miRNA and mRNA with the most different Median Absolute Deviation.</w:t>
      </w:r>
    </w:p>
    <w:p w:rsidR="35096A6C" w:rsidP="35096A6C" w:rsidRDefault="35096A6C" w14:paraId="1F7078CB" w14:textId="0B493F1F">
      <w:pPr>
        <w:pStyle w:val="ListParagraph"/>
        <w:numPr>
          <w:ilvl w:val="1"/>
          <w:numId w:val="1"/>
        </w:numPr>
        <w:jc w:val="both"/>
        <w:rPr>
          <w:noProof w:val="0"/>
          <w:sz w:val="22"/>
          <w:szCs w:val="22"/>
          <w:lang w:val="en-US"/>
        </w:rPr>
      </w:pPr>
      <w:r w:rsidRPr="35096A6C" w:rsidR="35096A6C">
        <w:rPr>
          <w:rFonts w:ascii="Times New Roman" w:hAnsi="Times New Roman" w:eastAsia="Times New Roman" w:cs="Times New Roman"/>
          <w:noProof w:val="0"/>
          <w:sz w:val="22"/>
          <w:szCs w:val="22"/>
          <w:lang w:val="en-US"/>
        </w:rPr>
        <w:t xml:space="preserve">Categorizing samples into different experiment settings: The Pam50 method has been used to categorize BRCA samples into different environment settings to identify miRNA targets across different cancer subtypes. After categorization, they have 107samples in Basal subtype, 75 samples in Her2 subtype, 147 samples in </w:t>
      </w:r>
      <w:proofErr w:type="spellStart"/>
      <w:r w:rsidRPr="35096A6C" w:rsidR="35096A6C">
        <w:rPr>
          <w:rFonts w:ascii="Times New Roman" w:hAnsi="Times New Roman" w:eastAsia="Times New Roman" w:cs="Times New Roman"/>
          <w:noProof w:val="0"/>
          <w:sz w:val="22"/>
          <w:szCs w:val="22"/>
          <w:lang w:val="en-US"/>
        </w:rPr>
        <w:t>LumA</w:t>
      </w:r>
      <w:proofErr w:type="spellEnd"/>
      <w:r w:rsidRPr="35096A6C" w:rsidR="35096A6C">
        <w:rPr>
          <w:rFonts w:ascii="Times New Roman" w:hAnsi="Times New Roman" w:eastAsia="Times New Roman" w:cs="Times New Roman"/>
          <w:noProof w:val="0"/>
          <w:sz w:val="22"/>
          <w:szCs w:val="22"/>
          <w:lang w:val="en-US"/>
        </w:rPr>
        <w:t xml:space="preserve"> subtype, 116 samples in </w:t>
      </w:r>
      <w:proofErr w:type="spellStart"/>
      <w:r w:rsidRPr="35096A6C" w:rsidR="35096A6C">
        <w:rPr>
          <w:rFonts w:ascii="Times New Roman" w:hAnsi="Times New Roman" w:eastAsia="Times New Roman" w:cs="Times New Roman"/>
          <w:noProof w:val="0"/>
          <w:sz w:val="22"/>
          <w:szCs w:val="22"/>
          <w:lang w:val="en-US"/>
        </w:rPr>
        <w:t>LumB</w:t>
      </w:r>
      <w:proofErr w:type="spellEnd"/>
      <w:r w:rsidRPr="35096A6C" w:rsidR="35096A6C">
        <w:rPr>
          <w:rFonts w:ascii="Times New Roman" w:hAnsi="Times New Roman" w:eastAsia="Times New Roman" w:cs="Times New Roman"/>
          <w:noProof w:val="0"/>
          <w:sz w:val="22"/>
          <w:szCs w:val="22"/>
          <w:lang w:val="en-US"/>
        </w:rPr>
        <w:t xml:space="preserve"> subtype, and 58 samples in Normal-</w:t>
      </w:r>
      <w:proofErr w:type="spellStart"/>
      <w:r w:rsidRPr="35096A6C" w:rsidR="35096A6C">
        <w:rPr>
          <w:rFonts w:ascii="Times New Roman" w:hAnsi="Times New Roman" w:eastAsia="Times New Roman" w:cs="Times New Roman"/>
          <w:noProof w:val="0"/>
          <w:sz w:val="22"/>
          <w:szCs w:val="22"/>
          <w:lang w:val="en-US"/>
        </w:rPr>
        <w:t>likesubtype</w:t>
      </w:r>
      <w:proofErr w:type="spellEnd"/>
      <w:r w:rsidRPr="35096A6C" w:rsidR="35096A6C">
        <w:rPr>
          <w:rFonts w:ascii="Times New Roman" w:hAnsi="Times New Roman" w:eastAsia="Times New Roman" w:cs="Times New Roman"/>
          <w:noProof w:val="0"/>
          <w:sz w:val="22"/>
          <w:szCs w:val="22"/>
          <w:lang w:val="en-US"/>
        </w:rPr>
        <w:t>.</w:t>
      </w:r>
    </w:p>
    <w:p w:rsidR="35096A6C" w:rsidP="35096A6C" w:rsidRDefault="35096A6C" w14:paraId="4FC5A64C" w14:textId="12B85AAB">
      <w:pPr>
        <w:pStyle w:val="ListParagraph"/>
        <w:numPr>
          <w:ilvl w:val="1"/>
          <w:numId w:val="1"/>
        </w:numPr>
        <w:jc w:val="both"/>
        <w:rPr>
          <w:noProof w:val="0"/>
          <w:sz w:val="22"/>
          <w:szCs w:val="22"/>
          <w:lang w:val="en-US"/>
        </w:rPr>
      </w:pPr>
      <w:r w:rsidRPr="35096A6C" w:rsidR="35096A6C">
        <w:rPr>
          <w:rFonts w:ascii="Times New Roman" w:hAnsi="Times New Roman" w:eastAsia="Times New Roman" w:cs="Times New Roman"/>
          <w:noProof w:val="0"/>
          <w:sz w:val="22"/>
          <w:szCs w:val="22"/>
          <w:lang w:val="en-US"/>
        </w:rPr>
        <w:t xml:space="preserve">Predicting casual effects of miRNAs on mRNAs: finally, invariant casual prediction has been employed to find the miRNA-mRNA regulatory relationship across subtypes by estimating the causal relationships of miRNAs on each mRNA through the </w:t>
      </w:r>
      <w:proofErr w:type="spellStart"/>
      <w:r w:rsidRPr="35096A6C" w:rsidR="35096A6C">
        <w:rPr>
          <w:rFonts w:ascii="Times New Roman" w:hAnsi="Times New Roman" w:eastAsia="Times New Roman" w:cs="Times New Roman"/>
          <w:noProof w:val="0"/>
          <w:sz w:val="22"/>
          <w:szCs w:val="22"/>
          <w:lang w:val="en-US"/>
        </w:rPr>
        <w:t>hiddenICP</w:t>
      </w:r>
      <w:proofErr w:type="spellEnd"/>
      <w:r w:rsidRPr="35096A6C" w:rsidR="35096A6C">
        <w:rPr>
          <w:rFonts w:ascii="Times New Roman" w:hAnsi="Times New Roman" w:eastAsia="Times New Roman" w:cs="Times New Roman"/>
          <w:noProof w:val="0"/>
          <w:sz w:val="22"/>
          <w:szCs w:val="22"/>
          <w:lang w:val="en-US"/>
        </w:rPr>
        <w:t xml:space="preserve"> </w:t>
      </w:r>
      <w:proofErr w:type="spellStart"/>
      <w:r w:rsidRPr="35096A6C" w:rsidR="35096A6C">
        <w:rPr>
          <w:rFonts w:ascii="Times New Roman" w:hAnsi="Times New Roman" w:eastAsia="Times New Roman" w:cs="Times New Roman"/>
          <w:noProof w:val="0"/>
          <w:sz w:val="22"/>
          <w:szCs w:val="22"/>
          <w:lang w:val="en-US"/>
        </w:rPr>
        <w:t>funciton</w:t>
      </w:r>
      <w:proofErr w:type="spellEnd"/>
      <w:r w:rsidRPr="35096A6C" w:rsidR="35096A6C">
        <w:rPr>
          <w:rFonts w:ascii="Times New Roman" w:hAnsi="Times New Roman" w:eastAsia="Times New Roman" w:cs="Times New Roman"/>
          <w:noProof w:val="0"/>
          <w:sz w:val="22"/>
          <w:szCs w:val="22"/>
          <w:lang w:val="en-US"/>
        </w:rPr>
        <w:t xml:space="preserve"> of the </w:t>
      </w:r>
      <w:proofErr w:type="spellStart"/>
      <w:r w:rsidRPr="35096A6C" w:rsidR="35096A6C">
        <w:rPr>
          <w:rFonts w:ascii="Times New Roman" w:hAnsi="Times New Roman" w:eastAsia="Times New Roman" w:cs="Times New Roman"/>
          <w:noProof w:val="0"/>
          <w:sz w:val="22"/>
          <w:szCs w:val="22"/>
          <w:lang w:val="en-US"/>
        </w:rPr>
        <w:t>InvariantCausalPrediction</w:t>
      </w:r>
      <w:proofErr w:type="spellEnd"/>
      <w:r w:rsidRPr="35096A6C" w:rsidR="35096A6C">
        <w:rPr>
          <w:rFonts w:ascii="Times New Roman" w:hAnsi="Times New Roman" w:eastAsia="Times New Roman" w:cs="Times New Roman"/>
          <w:noProof w:val="0"/>
          <w:sz w:val="22"/>
          <w:szCs w:val="22"/>
          <w:lang w:val="en-US"/>
        </w:rPr>
        <w:t xml:space="preserve"> package.</w:t>
      </w:r>
    </w:p>
    <w:p w:rsidR="35096A6C" w:rsidP="35096A6C" w:rsidRDefault="35096A6C" w14:paraId="59B9B434" w14:textId="2A9903B8">
      <w:pPr>
        <w:pStyle w:val="ListParagraph"/>
        <w:numPr>
          <w:ilvl w:val="0"/>
          <w:numId w:val="1"/>
        </w:numPr>
        <w:jc w:val="both"/>
        <w:rPr>
          <w:noProof w:val="0"/>
          <w:sz w:val="22"/>
          <w:szCs w:val="22"/>
          <w:lang w:val="en-US"/>
        </w:rPr>
      </w:pPr>
      <w:r w:rsidRPr="35096A6C" w:rsidR="35096A6C">
        <w:rPr>
          <w:rFonts w:ascii="Times New Roman" w:hAnsi="Times New Roman" w:eastAsia="Times New Roman" w:cs="Times New Roman"/>
          <w:noProof w:val="0"/>
          <w:sz w:val="22"/>
          <w:szCs w:val="22"/>
          <w:lang w:val="en-US"/>
        </w:rPr>
        <w:t xml:space="preserve">If breast cancer spreads, it might affect </w:t>
      </w:r>
      <w:r w:rsidRPr="35096A6C" w:rsidR="35096A6C">
        <w:rPr>
          <w:rFonts w:ascii="Times New Roman" w:hAnsi="Times New Roman" w:eastAsia="Times New Roman" w:cs="Times New Roman"/>
          <w:noProof w:val="0"/>
          <w:sz w:val="22"/>
          <w:szCs w:val="22"/>
          <w:lang w:val="en-US"/>
        </w:rPr>
        <w:t>other parts of the body</w:t>
      </w:r>
      <w:r w:rsidRPr="35096A6C" w:rsidR="35096A6C">
        <w:rPr>
          <w:rFonts w:ascii="Times New Roman" w:hAnsi="Times New Roman" w:eastAsia="Times New Roman" w:cs="Times New Roman"/>
          <w:noProof w:val="0"/>
          <w:sz w:val="22"/>
          <w:szCs w:val="22"/>
          <w:lang w:val="en-US"/>
        </w:rPr>
        <w:t xml:space="preserve"> such as: liver, lungs, muscles, bones and brain. So early detection of breast cancer will reduce the death rate. Bioinformatics play an important role to early detect of breast cancer. </w:t>
      </w:r>
      <w:r w:rsidRPr="35096A6C" w:rsidR="35096A6C">
        <w:rPr>
          <w:rFonts w:ascii="Times New Roman" w:hAnsi="Times New Roman" w:eastAsia="Times New Roman" w:cs="Times New Roman"/>
          <w:noProof w:val="0"/>
          <w:sz w:val="22"/>
          <w:szCs w:val="22"/>
          <w:lang w:val="en-US"/>
        </w:rPr>
        <w:t>That’s why I think</w:t>
      </w:r>
      <w:r w:rsidRPr="35096A6C" w:rsidR="35096A6C">
        <w:rPr>
          <w:rFonts w:ascii="Times New Roman" w:hAnsi="Times New Roman" w:eastAsia="Times New Roman" w:cs="Times New Roman"/>
          <w:noProof w:val="0"/>
          <w:sz w:val="22"/>
          <w:szCs w:val="22"/>
          <w:lang w:val="en-US"/>
        </w:rPr>
        <w:t xml:space="preserve"> it’s an important application of Bioinformatics.</w:t>
      </w:r>
    </w:p>
    <w:p w:rsidR="35096A6C" w:rsidP="35096A6C" w:rsidRDefault="35096A6C" w14:paraId="5C6E4BEA" w14:textId="4FDB303F">
      <w:pPr>
        <w:pStyle w:val="Normal"/>
        <w:ind w:left="0"/>
        <w:jc w:val="both"/>
        <w:rPr>
          <w:rFonts w:ascii="Times New Roman" w:hAnsi="Times New Roman" w:eastAsia="Times New Roman" w:cs="Times New Roman"/>
          <w:noProof w:val="0"/>
          <w:sz w:val="22"/>
          <w:szCs w:val="22"/>
          <w:lang w:val="en-US"/>
        </w:rPr>
      </w:pPr>
    </w:p>
    <w:p w:rsidR="35096A6C" w:rsidP="35096A6C" w:rsidRDefault="35096A6C" w14:paraId="5BDF386D" w14:textId="50E9381E">
      <w:pPr>
        <w:pStyle w:val="Normal"/>
        <w:ind w:left="0"/>
        <w:jc w:val="both"/>
        <w:rPr>
          <w:rFonts w:ascii="Times New Roman" w:hAnsi="Times New Roman" w:eastAsia="Times New Roman" w:cs="Times New Roman"/>
          <w:noProof w:val="0"/>
          <w:sz w:val="22"/>
          <w:szCs w:val="22"/>
          <w:lang w:val="en-US"/>
        </w:rPr>
      </w:pPr>
      <w:r w:rsidRPr="35096A6C" w:rsidR="35096A6C">
        <w:rPr>
          <w:rFonts w:ascii="Times New Roman" w:hAnsi="Times New Roman" w:eastAsia="Times New Roman" w:cs="Times New Roman"/>
          <w:noProof w:val="0"/>
          <w:sz w:val="22"/>
          <w:szCs w:val="22"/>
          <w:lang w:val="en-US"/>
        </w:rPr>
        <w:t>Md. Abdul Awal</w:t>
      </w:r>
    </w:p>
    <w:p w:rsidR="35096A6C" w:rsidP="35096A6C" w:rsidRDefault="35096A6C" w14:paraId="37AE260A" w14:textId="0717B0FD">
      <w:pPr>
        <w:pStyle w:val="Normal"/>
        <w:ind w:left="0"/>
        <w:jc w:val="both"/>
        <w:rPr>
          <w:rFonts w:ascii="Times New Roman" w:hAnsi="Times New Roman" w:eastAsia="Times New Roman" w:cs="Times New Roman"/>
          <w:noProof w:val="0"/>
          <w:sz w:val="22"/>
          <w:szCs w:val="22"/>
          <w:lang w:val="en-US"/>
        </w:rPr>
      </w:pPr>
      <w:r w:rsidRPr="35096A6C" w:rsidR="35096A6C">
        <w:rPr>
          <w:rFonts w:ascii="Times New Roman" w:hAnsi="Times New Roman" w:eastAsia="Times New Roman" w:cs="Times New Roman"/>
          <w:noProof w:val="0"/>
          <w:sz w:val="22"/>
          <w:szCs w:val="22"/>
          <w:lang w:val="en-US"/>
        </w:rPr>
        <w:t>NSID: mda439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1F3BD5"/>
  <w15:docId w15:val="{d3b6bb25-cf1f-4a58-b8b8-a8bbd926475d}"/>
  <w:rsids>
    <w:rsidRoot w:val="141F3BD5"/>
    <w:rsid w:val="141F3BD5"/>
    <w:rsid w:val="35096A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c3352371aa64b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2019-10-18T19:02:03.8129305Z</dcterms:created>
  <dcterms:modified xsi:type="dcterms:W3CDTF">2019-10-18T21:48:08.3858410Z</dcterms:modified>
  <dc:creator>Awal, Md. Abdul</dc:creator>
  <lastModifiedBy>Awal, Md. Abdul</lastModifiedBy>
</coreProperties>
</file>