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FB549">
      <w:pPr>
        <w:rPr>
          <w:sz w:val="18"/>
          <w:szCs w:val="18"/>
        </w:rPr>
      </w:pPr>
      <w:bookmarkStart w:id="0" w:name="_GoBack"/>
      <w:bookmarkEnd w:id="0"/>
      <w:r>
        <w:rPr>
          <w:rFonts w:hint="eastAsia" w:ascii="宋体" w:hAnsi="宋体" w:cs="宋体"/>
          <w:sz w:val="18"/>
          <w:szCs w:val="18"/>
          <w:lang w:eastAsia="zh-CN"/>
        </w:rPr>
        <w:t>厦门市</w:t>
      </w:r>
      <w:r>
        <w:rPr>
          <w:rFonts w:hint="eastAsia" w:ascii="宋体" w:hAnsi="宋体" w:eastAsia="宋体" w:cs="宋体"/>
          <w:sz w:val="18"/>
          <w:szCs w:val="18"/>
        </w:rPr>
        <w:t>集美区</w:t>
      </w:r>
      <w:r>
        <w:rPr>
          <w:rFonts w:hint="eastAsia" w:ascii="宋体" w:hAnsi="宋体" w:cs="宋体"/>
          <w:sz w:val="18"/>
          <w:szCs w:val="18"/>
          <w:lang w:val="en-US" w:eastAsia="zh-CN"/>
        </w:rPr>
        <w:t>杏苑实验</w:t>
      </w:r>
      <w:r>
        <w:rPr>
          <w:rFonts w:hint="eastAsia" w:ascii="宋体" w:hAnsi="宋体" w:eastAsia="宋体" w:cs="宋体"/>
          <w:sz w:val="18"/>
          <w:szCs w:val="18"/>
        </w:rPr>
        <w:t>幼儿园20</w:t>
      </w:r>
      <w:r>
        <w:rPr>
          <w:rFonts w:hint="eastAsia" w:ascii="宋体" w:hAnsi="宋体" w:cs="宋体"/>
          <w:sz w:val="18"/>
          <w:szCs w:val="18"/>
          <w:lang w:val="en-US" w:eastAsia="zh-CN"/>
        </w:rPr>
        <w:t>25</w:t>
      </w:r>
      <w:r>
        <w:rPr>
          <w:rFonts w:hint="eastAsia" w:ascii="宋体" w:hAnsi="宋体" w:eastAsia="宋体" w:cs="宋体"/>
          <w:sz w:val="18"/>
          <w:szCs w:val="18"/>
        </w:rPr>
        <w:t>-20</w:t>
      </w:r>
      <w:r>
        <w:rPr>
          <w:rFonts w:hint="eastAsia" w:ascii="宋体" w:hAnsi="宋体" w:cs="宋体"/>
          <w:sz w:val="18"/>
          <w:szCs w:val="18"/>
          <w:lang w:val="en-US" w:eastAsia="zh-CN"/>
        </w:rPr>
        <w:t>26</w:t>
      </w:r>
      <w:r>
        <w:rPr>
          <w:rFonts w:hint="eastAsia" w:ascii="宋体" w:hAnsi="宋体" w:eastAsia="宋体" w:cs="宋体"/>
          <w:sz w:val="18"/>
          <w:szCs w:val="18"/>
        </w:rPr>
        <w:t>学年第</w:t>
      </w:r>
      <w:r>
        <w:rPr>
          <w:rFonts w:hint="eastAsia" w:ascii="宋体" w:hAnsi="宋体" w:cs="宋体"/>
          <w:sz w:val="18"/>
          <w:szCs w:val="18"/>
          <w:lang w:val="en-US" w:eastAsia="zh-CN"/>
        </w:rPr>
        <w:t>二</w:t>
      </w:r>
      <w:r>
        <w:rPr>
          <w:rFonts w:hint="eastAsia" w:ascii="宋体" w:hAnsi="宋体" w:eastAsia="宋体" w:cs="宋体"/>
          <w:sz w:val="18"/>
          <w:szCs w:val="18"/>
        </w:rPr>
        <w:t>学期</w:t>
      </w:r>
    </w:p>
    <w:p w14:paraId="667BA959">
      <w:pPr>
        <w:jc w:val="center"/>
        <w:rPr>
          <w:rFonts w:ascii="宋体" w:hAnsi="宋体"/>
          <w:b/>
          <w:sz w:val="32"/>
          <w:szCs w:val="32"/>
        </w:rPr>
      </w:pPr>
      <w:r>
        <w:rPr>
          <w:rFonts w:hint="eastAsia" w:ascii="宋体" w:hAnsi="宋体" w:cs="宋体"/>
          <w:b/>
          <w:sz w:val="32"/>
          <w:u w:val="none"/>
          <w:lang w:val="en-US" w:eastAsia="zh-CN"/>
        </w:rPr>
        <w:t>杏博园中一班班级教研活动记录（测试专题）</w:t>
      </w:r>
      <w:r>
        <w:rPr>
          <w:rFonts w:hint="eastAsia" w:ascii="宋体" w:hAnsi="宋体" w:cs="宋体"/>
          <w:b/>
          <w:sz w:val="32"/>
          <w:u w:val="single"/>
          <w:lang w:val="en-US" w:eastAsia="zh-CN"/>
        </w:rPr>
      </w:r>
      <w:r>
        <w:rPr>
          <w:rFonts w:hint="eastAsia" w:ascii="宋体" w:hAnsi="宋体" w:cs="宋体"/>
          <w:b/>
          <w:sz w:val="32"/>
        </w:rPr>
      </w:r>
      <w:r>
        <w:rPr>
          <w:rFonts w:hint="eastAsia" w:ascii="宋体" w:hAnsi="宋体" w:cs="宋体"/>
          <w:b/>
          <w:sz w:val="32"/>
          <w:lang w:eastAsia="zh-CN"/>
        </w:rPr>
      </w:r>
      <w:r>
        <w:rPr>
          <w:rFonts w:hint="eastAsia" w:ascii="宋体" w:hAnsi="宋体"/>
          <w:b/>
          <w:sz w:val="32"/>
          <w:szCs w:val="32"/>
        </w:rPr>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1352"/>
        <w:gridCol w:w="1065"/>
        <w:gridCol w:w="1365"/>
        <w:gridCol w:w="505"/>
        <w:gridCol w:w="893"/>
        <w:gridCol w:w="867"/>
        <w:gridCol w:w="205"/>
        <w:gridCol w:w="893"/>
        <w:gridCol w:w="713"/>
      </w:tblGrid>
      <w:tr w14:paraId="7D851900">
        <w:trPr>
          <w:jc w:val="center"/>
        </w:trPr>
        <w:tc>
          <w:tcPr>
            <w:tcW w:w="1428" w:type="dxa"/>
            <w:tcBorders>
              <w:top w:val="single" w:color="auto" w:sz="4" w:space="0"/>
              <w:left w:val="single" w:color="auto" w:sz="4" w:space="0"/>
              <w:bottom w:val="single" w:color="auto" w:sz="4" w:space="0"/>
              <w:right w:val="single" w:color="auto" w:sz="4" w:space="0"/>
            </w:tcBorders>
            <w:noWrap w:val="0"/>
            <w:vAlign w:val="top"/>
          </w:tcPr>
          <w:p w14:paraId="01DC47E8">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活动时间</w:t>
            </w:r>
          </w:p>
        </w:tc>
        <w:tc>
          <w:tcPr>
            <w:tcW w:w="4287" w:type="dxa"/>
            <w:gridSpan w:val="4"/>
            <w:tcBorders>
              <w:top w:val="single" w:color="auto" w:sz="4" w:space="0"/>
              <w:left w:val="single" w:color="auto" w:sz="4" w:space="0"/>
              <w:bottom w:val="single" w:color="auto" w:sz="4" w:space="0"/>
              <w:right w:val="single" w:color="auto" w:sz="4" w:space="0"/>
            </w:tcBorders>
            <w:noWrap w:val="0"/>
            <w:vAlign w:val="top"/>
          </w:tcPr>
          <w:p w14:paraId="1462F5F5">
            <w:pPr>
              <w:spacing w:line="360" w:lineRule="auto"/>
              <w:rPr>
                <w:rFonts w:hint="eastAsia" w:ascii="宋体" w:hAnsi="宋体" w:eastAsia="宋体" w:cs="宋体"/>
                <w:sz w:val="24"/>
                <w:szCs w:val="24"/>
              </w:rPr>
            </w:pPr>
            <w:r>
              <w:rPr>
                <w:rFonts w:hint="eastAsia" w:ascii="宋体" w:hAnsi="宋体"/>
                <w:b w:val="0"/>
                <w:bCs/>
                <w:color w:val="auto"/>
                <w:sz w:val="24"/>
                <w:szCs w:val="24"/>
                <w:vertAlign w:val="baseline"/>
                <w:lang w:val="en-US" w:eastAsia="zh-CN"/>
              </w:rPr>
              <w:t xml:space="preserve"/>
            </w:r>
            <w:r>
              <w:rPr>
                <w:rFonts w:hint="eastAsia" w:ascii="宋体" w:hAnsi="宋体"/>
                <w:color w:val="auto"/>
                <w:sz w:val="24"/>
                <w:szCs w:val="24"/>
              </w:rPr>
              <w:t/>
            </w:r>
            <w:r>
              <w:rPr>
                <w:rFonts w:hint="eastAsia" w:ascii="宋体" w:hAnsi="宋体"/>
                <w:color w:val="auto"/>
                <w:sz w:val="24"/>
                <w:szCs w:val="24"/>
                <w:lang w:val="en-US" w:eastAsia="zh-CN"/>
              </w:rPr>
              <w:t xml:space="preserve"/>
            </w:r>
            <w:r>
              <w:rPr>
                <w:rFonts w:hint="eastAsia" w:ascii="宋体" w:hAnsi="宋体"/>
                <w:sz w:val="24"/>
                <w:szCs w:val="24"/>
                <w:lang w:val="en-US" w:eastAsia="zh-CN"/>
              </w:rPr>
              <w:t/>
            </w:r>
            <w:r>
              <w:rPr>
                <w:rFonts w:hint="eastAsia" w:ascii="宋体" w:hAnsi="宋体" w:eastAsia="宋体" w:cs="宋体"/>
                <w:sz w:val="24"/>
                <w:szCs w:val="24"/>
              </w:rPr>
              <w:t/>
            </w:r>
            <w:r>
              <w:rPr>
                <w:rFonts w:ascii="宋体" w:hAnsi="宋体"/>
                <w:sz w:val="24"/>
              </w:rPr>
              <w:t>2026年6月5日 星期五 下午</w:t>
            </w:r>
          </w:p>
        </w:tc>
        <w:tc>
          <w:tcPr>
            <w:tcW w:w="893" w:type="dxa"/>
            <w:tcBorders>
              <w:top w:val="single" w:color="auto" w:sz="4" w:space="0"/>
              <w:left w:val="single" w:color="auto" w:sz="4" w:space="0"/>
              <w:bottom w:val="single" w:color="auto" w:sz="4" w:space="0"/>
              <w:right w:val="single" w:color="auto" w:sz="4" w:space="0"/>
            </w:tcBorders>
            <w:noWrap w:val="0"/>
            <w:vAlign w:val="top"/>
          </w:tcPr>
          <w:p w14:paraId="57CD7283">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地点</w:t>
            </w:r>
          </w:p>
        </w:tc>
        <w:tc>
          <w:tcPr>
            <w:tcW w:w="1072" w:type="dxa"/>
            <w:gridSpan w:val="2"/>
            <w:tcBorders>
              <w:top w:val="single" w:color="auto" w:sz="4" w:space="0"/>
              <w:left w:val="single" w:color="auto" w:sz="4" w:space="0"/>
              <w:bottom w:val="single" w:color="auto" w:sz="4" w:space="0"/>
              <w:right w:val="single" w:color="auto" w:sz="4" w:space="0"/>
            </w:tcBorders>
            <w:noWrap w:val="0"/>
            <w:vAlign w:val="top"/>
          </w:tcPr>
          <w:p w14:paraId="4649A983">
            <w:pPr>
              <w:spacing w:line="360" w:lineRule="auto"/>
              <w:jc w:val="center"/>
              <w:rPr>
                <w:rFonts w:hint="eastAsia" w:ascii="宋体" w:hAnsi="宋体" w:eastAsia="宋体" w:cs="宋体"/>
                <w:sz w:val="24"/>
                <w:szCs w:val="24"/>
                <w:lang w:eastAsia="zh-CN"/>
              </w:rPr>
            </w:pPr>
            <w:r>
              <w:rPr>
                <w:rFonts w:hint="eastAsia" w:ascii="宋体" w:hAnsi="宋体" w:cs="宋体"/>
                <w:sz w:val="24"/>
                <w:szCs w:val="24"/>
                <w:lang w:val="en-US" w:eastAsia="zh-CN"/>
              </w:rPr>
              <w:t>中一</w:t>
            </w:r>
            <w:r>
              <w:rPr>
                <w:rFonts w:hint="eastAsia" w:ascii="宋体" w:hAnsi="宋体" w:eastAsia="宋体" w:cs="宋体"/>
                <w:sz w:val="24"/>
                <w:szCs w:val="24"/>
                <w:lang w:eastAsia="zh-CN"/>
              </w:rPr>
              <w:t>班</w:t>
            </w:r>
          </w:p>
        </w:tc>
        <w:tc>
          <w:tcPr>
            <w:tcW w:w="893" w:type="dxa"/>
            <w:tcBorders>
              <w:top w:val="single" w:color="auto" w:sz="4" w:space="0"/>
              <w:left w:val="single" w:color="auto" w:sz="4" w:space="0"/>
              <w:bottom w:val="single" w:color="auto" w:sz="4" w:space="0"/>
              <w:right w:val="single" w:color="auto" w:sz="4" w:space="0"/>
            </w:tcBorders>
            <w:noWrap w:val="0"/>
            <w:vAlign w:val="top"/>
          </w:tcPr>
          <w:p w14:paraId="796923C7">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人数</w:t>
            </w:r>
          </w:p>
        </w:tc>
        <w:tc>
          <w:tcPr>
            <w:tcW w:w="713" w:type="dxa"/>
            <w:tcBorders>
              <w:top w:val="single" w:color="auto" w:sz="4" w:space="0"/>
              <w:left w:val="single" w:color="auto" w:sz="4" w:space="0"/>
              <w:bottom w:val="single" w:color="auto" w:sz="4" w:space="0"/>
              <w:right w:val="single" w:color="auto" w:sz="4" w:space="0"/>
            </w:tcBorders>
            <w:noWrap w:val="0"/>
            <w:vAlign w:val="top"/>
          </w:tcPr>
          <w:p w14:paraId="64260FBA">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w:t>
            </w:r>
          </w:p>
        </w:tc>
      </w:tr>
      <w:tr w14:paraId="3DD230D8">
        <w:trPr>
          <w:jc w:val="center"/>
        </w:trPr>
        <w:tc>
          <w:tcPr>
            <w:tcW w:w="1428" w:type="dxa"/>
            <w:tcBorders>
              <w:top w:val="single" w:color="auto" w:sz="4" w:space="0"/>
              <w:left w:val="single" w:color="auto" w:sz="4" w:space="0"/>
              <w:bottom w:val="single" w:color="auto" w:sz="4" w:space="0"/>
              <w:right w:val="single" w:color="auto" w:sz="4" w:space="0"/>
            </w:tcBorders>
            <w:noWrap w:val="0"/>
            <w:vAlign w:val="top"/>
          </w:tcPr>
          <w:p w14:paraId="4B9FF638">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主持人</w:t>
            </w:r>
          </w:p>
        </w:tc>
        <w:tc>
          <w:tcPr>
            <w:tcW w:w="1352" w:type="dxa"/>
            <w:tcBorders>
              <w:top w:val="single" w:color="auto" w:sz="4" w:space="0"/>
              <w:left w:val="single" w:color="auto" w:sz="4" w:space="0"/>
              <w:bottom w:val="single" w:color="auto" w:sz="4" w:space="0"/>
              <w:right w:val="single" w:color="auto" w:sz="4" w:space="0"/>
            </w:tcBorders>
            <w:noWrap w:val="0"/>
            <w:vAlign w:val="top"/>
          </w:tcPr>
          <w:p w14:paraId="62F3A2F4">
            <w:pPr>
              <w:spacing w:line="360" w:lineRule="auto"/>
              <w:jc w:val="center"/>
              <w:rPr>
                <w:rFonts w:hint="eastAsia" w:ascii="宋体" w:hAnsi="宋体" w:eastAsia="宋体" w:cs="宋体"/>
                <w:sz w:val="24"/>
                <w:szCs w:val="24"/>
              </w:rPr>
            </w:pPr>
            <w:r>
              <w:rPr>
                <w:rFonts w:hint="eastAsia" w:ascii="宋体" w:hAnsi="宋体" w:cs="宋体"/>
                <w:sz w:val="24"/>
                <w:szCs w:val="24"/>
                <w:lang w:val="en-US" w:eastAsia="zh-CN"/>
              </w:rPr>
              <w:t>吴玉佳</w:t>
            </w:r>
            <w:r>
              <w:rPr>
                <w:rFonts w:hint="eastAsia" w:ascii="宋体" w:hAnsi="宋体" w:eastAsia="宋体" w:cs="宋体"/>
                <w:sz w:val="24"/>
                <w:szCs w:val="24"/>
              </w:rPr>
              <w:t xml:space="preserve"> </w:t>
            </w:r>
          </w:p>
        </w:tc>
        <w:tc>
          <w:tcPr>
            <w:tcW w:w="1065" w:type="dxa"/>
            <w:tcBorders>
              <w:top w:val="single" w:color="auto" w:sz="4" w:space="0"/>
              <w:left w:val="single" w:color="auto" w:sz="4" w:space="0"/>
              <w:bottom w:val="single" w:color="auto" w:sz="4" w:space="0"/>
              <w:right w:val="single" w:color="auto" w:sz="4" w:space="0"/>
            </w:tcBorders>
            <w:noWrap w:val="0"/>
            <w:vAlign w:val="top"/>
          </w:tcPr>
          <w:p w14:paraId="4D7681CB">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记录人</w:t>
            </w:r>
          </w:p>
        </w:tc>
        <w:tc>
          <w:tcPr>
            <w:tcW w:w="1365" w:type="dxa"/>
            <w:tcBorders>
              <w:top w:val="single" w:color="auto" w:sz="4" w:space="0"/>
              <w:left w:val="single" w:color="auto" w:sz="4" w:space="0"/>
              <w:bottom w:val="single" w:color="auto" w:sz="4" w:space="0"/>
              <w:right w:val="single" w:color="auto" w:sz="4" w:space="0"/>
            </w:tcBorders>
            <w:noWrap w:val="0"/>
            <w:vAlign w:val="top"/>
          </w:tcPr>
          <w:p w14:paraId="3D4F8CEA">
            <w:pPr>
              <w:spacing w:line="360" w:lineRule="auto"/>
              <w:jc w:val="cente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陈婧雨</w:t>
            </w:r>
          </w:p>
        </w:tc>
        <w:tc>
          <w:tcPr>
            <w:tcW w:w="2265" w:type="dxa"/>
            <w:gridSpan w:val="3"/>
            <w:tcBorders>
              <w:top w:val="single" w:color="auto" w:sz="4" w:space="0"/>
              <w:left w:val="single" w:color="auto" w:sz="4" w:space="0"/>
              <w:bottom w:val="single" w:color="auto" w:sz="4" w:space="0"/>
              <w:right w:val="single" w:color="auto" w:sz="4" w:space="0"/>
            </w:tcBorders>
            <w:noWrap w:val="0"/>
            <w:vAlign w:val="top"/>
          </w:tcPr>
          <w:p w14:paraId="63582CAE">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缺席教师及原因</w:t>
            </w:r>
          </w:p>
        </w:tc>
        <w:tc>
          <w:tcPr>
            <w:tcW w:w="1811" w:type="dxa"/>
            <w:gridSpan w:val="3"/>
            <w:tcBorders>
              <w:top w:val="single" w:color="auto" w:sz="4" w:space="0"/>
              <w:left w:val="single" w:color="auto" w:sz="4" w:space="0"/>
              <w:bottom w:val="single" w:color="auto" w:sz="4" w:space="0"/>
              <w:right w:val="single" w:color="auto" w:sz="4" w:space="0"/>
            </w:tcBorders>
            <w:noWrap w:val="0"/>
            <w:vAlign w:val="top"/>
          </w:tcPr>
          <w:p w14:paraId="78BFA483">
            <w:pPr>
              <w:spacing w:line="360" w:lineRule="auto"/>
              <w:jc w:val="center"/>
              <w:rPr>
                <w:rFonts w:hint="eastAsia" w:ascii="宋体" w:hAnsi="宋体" w:eastAsia="宋体" w:cs="宋体"/>
                <w:sz w:val="24"/>
                <w:szCs w:val="24"/>
                <w:lang w:eastAsia="zh-CN"/>
              </w:rPr>
            </w:pPr>
            <w:r>
              <w:rPr>
                <w:rFonts w:hint="eastAsia" w:ascii="宋体" w:hAnsi="宋体" w:eastAsia="宋体" w:cs="宋体"/>
                <w:color w:val="auto"/>
                <w:sz w:val="24"/>
                <w:szCs w:val="24"/>
                <w:lang w:eastAsia="zh-CN"/>
              </w:rPr>
              <w:t>无</w:t>
            </w:r>
          </w:p>
        </w:tc>
      </w:tr>
      <w:tr w14:paraId="3616CE90">
        <w:trPr>
          <w:jc w:val="center"/>
        </w:trPr>
        <w:tc>
          <w:tcPr>
            <w:tcW w:w="1428" w:type="dxa"/>
            <w:tcBorders>
              <w:top w:val="single" w:color="auto" w:sz="4" w:space="0"/>
              <w:left w:val="single" w:color="auto" w:sz="4" w:space="0"/>
              <w:bottom w:val="single" w:color="auto" w:sz="4" w:space="0"/>
              <w:right w:val="single" w:color="auto" w:sz="4" w:space="0"/>
            </w:tcBorders>
            <w:noWrap w:val="0"/>
            <w:vAlign w:val="top"/>
          </w:tcPr>
          <w:p w14:paraId="6259C513">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主  要</w:t>
            </w:r>
          </w:p>
          <w:p w14:paraId="319461C2">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内  容</w:t>
            </w:r>
          </w:p>
        </w:tc>
        <w:tc>
          <w:tcPr>
            <w:tcW w:w="7858" w:type="dxa"/>
            <w:gridSpan w:val="9"/>
            <w:tcBorders>
              <w:top w:val="single" w:color="auto" w:sz="4" w:space="0"/>
              <w:left w:val="single" w:color="auto" w:sz="4" w:space="0"/>
              <w:bottom w:val="single" w:color="auto" w:sz="4" w:space="0"/>
              <w:right w:val="single" w:color="auto" w:sz="4" w:space="0"/>
            </w:tcBorders>
            <w:noWrap w:val="0"/>
            <w:vAlign w:val="center"/>
          </w:tcPr>
          <w:p w14:paraId="6F732E92">
            <w:pPr>
              <w:spacing w:line="360" w:lineRule="auto"/>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w:r>
            <w:r>
              <w:rPr>
                <w:rFonts w:ascii="宋体" w:hAnsi="宋体"/>
                <w:sz w:val="24"/>
              </w:rPr>
              <w:t>测试主题 - 模板克隆功能验证</w:t>
            </w:r>
          </w:p>
        </w:tc>
      </w:tr>
      <w:tr w14:paraId="7133AA6D">
        <w:trPr>
          <w:jc w:val="center"/>
        </w:trPr>
        <w:tc>
          <w:tcPr>
            <w:tcW w:w="9286" w:type="dxa"/>
            <w:gridSpan w:val="10"/>
            <w:tcBorders>
              <w:top w:val="single" w:color="auto" w:sz="4" w:space="0"/>
              <w:left w:val="single" w:color="auto" w:sz="4" w:space="0"/>
              <w:bottom w:val="single" w:color="auto" w:sz="4" w:space="0"/>
              <w:right w:val="single" w:color="auto" w:sz="4" w:space="0"/>
            </w:tcBorders>
            <w:noWrap w:val="0"/>
            <w:vAlign w:val="top"/>
          </w:tcPr>
          <w:p w14:paraId="23EF3744">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过程记录：</w:t>
            </w:r>
          </w:p>
          <w:p w14:paraId="0357A08E">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一、本周回顾</w:t>
            </w:r>
          </w:p>
          <w:p w14:paraId="4A84F347">
            <w:pPr>
              <w:pStyle w:val="3"/>
              <w:keepNext w:val="0"/>
              <w:keepLines w:val="0"/>
              <w:pageBreakBefore w:val="0"/>
              <w:widowControl w:val="0"/>
              <w:kinsoku/>
              <w:wordWrap/>
              <w:overflowPunct/>
              <w:topLinePunct w:val="0"/>
              <w:autoSpaceDE/>
              <w:autoSpaceDN/>
              <w:bidi w:val="0"/>
              <w:adjustRightInd/>
              <w:snapToGrid/>
              <w:spacing w:after="0" w:afterLines="0" w:line="360" w:lineRule="auto"/>
              <w:ind w:firstLine="480" w:firstLineChars="200"/>
              <w:textAlignment w:val="auto"/>
              <w:rPr>
                <w:rFonts w:hint="default" w:asciiTheme="minorEastAsia" w:hAnsiTheme="minorEastAsia" w:eastAsiaTheme="minorEastAsia" w:cstheme="minorEastAsia"/>
                <w:color w:val="auto"/>
                <w:sz w:val="24"/>
                <w:szCs w:val="24"/>
                <w:vertAlign w:val="baseline"/>
                <w:lang w:val="en-US" w:eastAsia="zh-CN"/>
              </w:rPr>
            </w:pPr>
            <w:r>
              <w:rPr>
                <w:rFonts w:hint="eastAsia" w:ascii="宋体" w:hAnsi="宋体" w:cs="宋体"/>
                <w:color w:val="auto"/>
                <w:sz w:val="24"/>
                <w:szCs w:val="24"/>
                <w:lang w:val="en-US" w:eastAsia="zh-CN"/>
              </w:rPr>
              <w:t>1.集中活动方面，在集中活动时，大部分幼儿能保持良好的坐姿，部分幼儿需要教师提醒才能保持坐姿。</w:t>
            </w:r>
          </w:p>
          <w:p w14:paraId="16465406">
            <w:pPr>
              <w:pStyle w:val="3"/>
              <w:keepNext w:val="0"/>
              <w:keepLines w:val="0"/>
              <w:pageBreakBefore w:val="0"/>
              <w:widowControl w:val="0"/>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cs="宋体"/>
                <w:color w:val="auto"/>
                <w:sz w:val="24"/>
                <w:szCs w:val="24"/>
                <w:lang w:val="en-US" w:eastAsia="zh-CN"/>
              </w:rPr>
            </w:pPr>
            <w:r>
              <w:rPr>
                <w:rFonts w:hint="eastAsia" w:ascii="宋体" w:hAnsi="宋体" w:cs="宋体"/>
                <w:color w:val="auto"/>
                <w:sz w:val="24"/>
                <w:szCs w:val="24"/>
                <w:lang w:val="en-US" w:eastAsia="zh-CN"/>
              </w:rPr>
              <w:t>2.入离园方面，部分幼儿能主动问好，但有部分幼儿还需要教师主动打招呼才会问好。离园环节大部分幼儿都会主动和教师告别。</w:t>
            </w:r>
          </w:p>
          <w:p w14:paraId="7DBC17DE">
            <w:pPr>
              <w:pStyle w:val="3"/>
              <w:keepNext w:val="0"/>
              <w:keepLines w:val="0"/>
              <w:pageBreakBefore w:val="0"/>
              <w:widowControl w:val="0"/>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cs="宋体"/>
                <w:color w:val="auto"/>
                <w:sz w:val="24"/>
                <w:szCs w:val="24"/>
                <w:lang w:val="en-US" w:eastAsia="zh-CN"/>
              </w:rPr>
            </w:pPr>
            <w:r>
              <w:rPr>
                <w:rFonts w:hint="eastAsia" w:ascii="宋体" w:hAnsi="宋体" w:cs="宋体"/>
                <w:color w:val="auto"/>
                <w:sz w:val="24"/>
                <w:szCs w:val="24"/>
                <w:lang w:val="en-US" w:eastAsia="zh-CN"/>
              </w:rPr>
              <w:t>3.早操方面，幼儿都会跟着教师做标准动作，基本都能动起来。</w:t>
            </w:r>
          </w:p>
          <w:p w14:paraId="59B82B0B">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二、下周工作重点</w:t>
            </w:r>
          </w:p>
          <w:p w14:paraId="5F476B5D">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eastAsia" w:ascii="宋体" w:hAnsi="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1</w:t>
            </w:r>
            <w:r>
              <w:rPr>
                <w:rFonts w:hint="eastAsia" w:ascii="宋体" w:hAnsi="宋体" w:cs="宋体"/>
                <w:color w:val="auto"/>
                <w:kern w:val="2"/>
                <w:sz w:val="24"/>
                <w:szCs w:val="24"/>
                <w:lang w:val="en-US" w:eastAsia="zh-CN" w:bidi="ar-SA"/>
              </w:rPr>
              <w:t>.常规方面：幼儿在午饭后能坐在位置上安静玩玩具。玩区域、建构游戏时能保持安静，不喧哗。</w:t>
            </w:r>
          </w:p>
          <w:p w14:paraId="303A4305">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eastAsia" w:ascii="宋体" w:hAnsi="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2.午睡方面：幼儿上床后，能快速以良好睡姿躺好，并安静入睡。</w:t>
            </w:r>
          </w:p>
          <w:p w14:paraId="46E96348">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3.户外活动方面：户外活动结束后能根据出汗量自主更换衣物。</w:t>
            </w:r>
          </w:p>
          <w:p w14:paraId="667B3F40">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三、研讨内容</w:t>
            </w:r>
          </w:p>
          <w:p w14:paraId="6C51E6DD">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（一）问题提出</w:t>
            </w:r>
          </w:p>
          <w:p w14:paraId="0796E9E3">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吴玉佳：随着本学期《大自然的颜色魔法》班本课程的深入开展，我们发现幼儿对色彩探索表现出了持续的高涨热情。在美工区和操作区，孩子们非常沉浸于扎染、敲染等多样的工艺创作，因此这两个核心区域的主题我们保持不变，继续保留扎染和敲染，让幼儿能够持续进行深度的创作。</w:t>
            </w:r>
            <w:r>
              <w:rPr>
                <w:rFonts w:hint="eastAsia" w:ascii="宋体" w:hAnsi="宋体" w:cs="宋体"/>
                <w:sz w:val="24"/>
                <w:szCs w:val="24"/>
                <w:lang w:val="en-US" w:eastAsia="zh-CN"/>
              </w:rPr>
              <w:t>但</w:t>
            </w:r>
            <w:r>
              <w:rPr>
                <w:rFonts w:hint="default" w:ascii="宋体" w:hAnsi="宋体" w:eastAsia="宋体" w:cs="宋体"/>
                <w:sz w:val="24"/>
                <w:szCs w:val="24"/>
                <w:lang w:val="en-US" w:eastAsia="zh-CN"/>
              </w:rPr>
              <w:t>现有的环境已无法完全满足中班下学期幼儿进一步深度探究和语言表达的发展需求。为此，今天我们重点针对这四个区域，研讨具体的材料更新与玩法优化策略，既要让新玩法有趣、有探究深度，又要自然呼应我们的班本课程主线。</w:t>
            </w:r>
          </w:p>
          <w:p w14:paraId="7B1B5477">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（二）交流与分享</w:t>
            </w:r>
          </w:p>
          <w:p w14:paraId="350DAB9F">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吴玉佳：我先来谈谈整体的调整思路。为了让区域调整更有整体性，我们可以将阅读区和讲述区与现有的染艺课程建立更紧密的联动。比如在阅读区，我们可以引导幼儿把自己在美工区、操作区创作的扎染、敲染作品以及他们在染艺过程中的趣事，以“口述日记”或“自制连环画”的形式，做成属于孩子们自己的“班本课程故事书”投放到区里供大家翻阅；而讲述区则可以升级为“大自然颜色魔法发布会”或“色彩故事电台”，提供自制的话筒和播报台，让幼儿在台上有针对性地展示、讲述自己的染艺作品和背后的新发现。</w:t>
            </w:r>
          </w:p>
          <w:p w14:paraId="6684D79E">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陈婧雨：针对益智区，为了呼应大自然颜色的主题，并提升中班下学期幼儿的数理逻辑能力，我建议更新一批跟色彩和空间推理相关的材料。例如，可以设计“色彩配对矩阵”，让幼儿根据行和列的颜色、形状双重维度进行排块推理；还可以投放“扎染绳长比一比”或彩色皮筋方格板，让幼儿在套弄皮筋的过程中感知几何造型。另外，关于阅读区，为了吸引更多孩子走进去，我们可以引入“图书借阅积分卡”的激励机制。进区阅读并能向同伴分享、推荐一本书的幼儿，就可以获得一枚“阅读小达人”印章，集齐一定数量的印章可以优先获得去美工区尝试新型扎染材料的机会，以此激发幼儿的阅读热情。</w:t>
            </w:r>
          </w:p>
          <w:p w14:paraId="52DF5F5D">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江艳金：</w:t>
            </w:r>
            <w:r>
              <w:rPr>
                <w:rFonts w:hint="eastAsia" w:ascii="宋体" w:hAnsi="宋体" w:cs="宋体"/>
                <w:sz w:val="24"/>
                <w:szCs w:val="24"/>
                <w:lang w:val="en-US" w:eastAsia="zh-CN"/>
              </w:rPr>
              <w:t>我</w:t>
            </w:r>
            <w:r>
              <w:rPr>
                <w:rFonts w:hint="default" w:ascii="宋体" w:hAnsi="宋体" w:eastAsia="宋体" w:cs="宋体"/>
                <w:sz w:val="24"/>
                <w:szCs w:val="24"/>
                <w:lang w:val="en-US" w:eastAsia="zh-CN"/>
              </w:rPr>
              <w:t>同意大家的想法。从区域物理环境和探究深度的角度来看，</w:t>
            </w:r>
            <w:r>
              <w:rPr>
                <w:rFonts w:hint="eastAsia" w:ascii="宋体" w:hAnsi="宋体" w:cs="宋体"/>
                <w:sz w:val="24"/>
                <w:szCs w:val="24"/>
                <w:lang w:val="en-US" w:eastAsia="zh-CN"/>
              </w:rPr>
              <w:t>我认为科学区也需要更新</w:t>
            </w:r>
            <w:r>
              <w:rPr>
                <w:rFonts w:hint="default" w:ascii="宋体" w:hAnsi="宋体" w:eastAsia="宋体" w:cs="宋体"/>
                <w:sz w:val="24"/>
                <w:szCs w:val="24"/>
                <w:lang w:val="en-US" w:eastAsia="zh-CN"/>
              </w:rPr>
              <w:t>。幼儿之前在户外骑行区和自然角收集了大量的落叶、花瓣，但目前只是简单摆放。我们可以把科学区升级为“植物色素实验室”，投放研钵、试管、滤纸、滴管，再提供白醋、小苏打水等安全试剂，引导幼儿自己动手榨取植物汁液，探索“植物色素提取”以及“色彩遇酸碱变变变”的科学奥秘。不过，因为科学区要引入液体材料，台面极易打湿，地面积水也容易滑倒。从保教安全出发，我会在科学区台面提前铺设防水垫，多准备几块吸水抹布，并在区域规则图示上加注“实验完毕擦干台面”的直观提示。</w:t>
            </w:r>
          </w:p>
          <w:p w14:paraId="6D94D6D8">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吴玉佳：两位老师分析得非常全面，思路都很开阔。江老师把科学区升级为“植物色素实验室”，不仅让户外收集的自然物得到了深层次的价值利用，而且在安全和常规防范上的考虑非常周到。陈老师在益智区融入了双维矩阵、长度与几何的认知，同时在阅读区设计积分卡机制，能用正向激励有效解决阅读区冷清的问题。那么针对讲述区，除了刚才提到的发布会，在玩法上还能怎么细化，好让孩子们更愿意、更大胆地去表达呢？</w:t>
            </w:r>
          </w:p>
          <w:p w14:paraId="08F1F033">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陈婧雨：讲述区的玩法上，我们可以结合操作区和美工区裁剪下来的一些废旧扎染布头，引导幼儿将它们和纸杯、木棒组合，制作成“植物拓染手偶”。在区内搭建一个微型的“大森林手偶剧场”，让幼儿拿着自己做的小手偶，两两组队编织关于“寻找色彩魔法”的故事并进行角色表演。这种借助媒介的手偶表演，可以大大降低中班幼儿面对大家讲话时的紧张感，让讲述和动手操作完美结合。</w:t>
            </w:r>
          </w:p>
          <w:p w14:paraId="72075D94">
            <w:pPr>
              <w:pStyle w:val="3"/>
              <w:keepNext w:val="0"/>
              <w:keepLines w:val="0"/>
              <w:pageBreakBefore w:val="0"/>
              <w:widowControl w:val="0"/>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江艳金：为了配合讲述区和阅读区的新玩法落地，空间布局上也需要做一些微调。美工区和操作区在进行敲染时声音比较大，</w:t>
            </w:r>
            <w:r>
              <w:rPr>
                <w:rFonts w:hint="eastAsia" w:ascii="宋体" w:hAnsi="宋体" w:cs="宋体"/>
                <w:sz w:val="24"/>
                <w:szCs w:val="24"/>
                <w:lang w:val="en-US" w:eastAsia="zh-CN"/>
              </w:rPr>
              <w:t>所以需要在走廊进行游戏。同时</w:t>
            </w:r>
            <w:r>
              <w:rPr>
                <w:rFonts w:hint="default" w:ascii="宋体" w:hAnsi="宋体" w:eastAsia="宋体" w:cs="宋体"/>
                <w:sz w:val="24"/>
                <w:szCs w:val="24"/>
                <w:lang w:val="en-US" w:eastAsia="zh-CN"/>
              </w:rPr>
              <w:t>，新材料投放后，我们要及时更新每个区域的进区人数牌，并在收纳筐上贴上更清晰的物品分类图示，方便幼儿游戏结束后自主归位。</w:t>
            </w:r>
          </w:p>
          <w:p w14:paraId="56B4643C">
            <w:pPr>
              <w:pStyle w:val="3"/>
              <w:keepNext w:val="0"/>
              <w:keepLines w:val="0"/>
              <w:pageBreakBefore w:val="0"/>
              <w:widowControl w:val="0"/>
              <w:numPr>
                <w:ilvl w:val="0"/>
                <w:numId w:val="1"/>
              </w:numPr>
              <w:kinsoku/>
              <w:wordWrap/>
              <w:overflowPunct/>
              <w:topLinePunct w:val="0"/>
              <w:autoSpaceDE/>
              <w:autoSpaceDN/>
              <w:bidi w:val="0"/>
              <w:adjustRightInd/>
              <w:snapToGrid/>
              <w:spacing w:after="0" w:afterLines="0" w:line="360" w:lineRule="auto"/>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小结</w:t>
            </w:r>
          </w:p>
          <w:p w14:paraId="70371EE4">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eastAsia" w:ascii="宋体" w:hAnsi="宋体" w:cs="宋体"/>
                <w:sz w:val="24"/>
                <w:szCs w:val="24"/>
                <w:lang w:val="en-US" w:eastAsia="zh-CN"/>
              </w:rPr>
            </w:pPr>
            <w:r>
              <w:rPr>
                <w:rFonts w:hint="eastAsia" w:ascii="宋体" w:hAnsi="宋体" w:eastAsia="宋体" w:cs="宋体"/>
                <w:kern w:val="0"/>
                <w:sz w:val="24"/>
                <w:szCs w:val="24"/>
                <w:lang w:val="en-US" w:eastAsia="zh-CN" w:bidi="ar-SA"/>
              </w:rPr>
              <w:t>1.</w:t>
            </w:r>
            <w:r>
              <w:rPr>
                <w:rFonts w:hint="eastAsia" w:ascii="宋体" w:hAnsi="宋体" w:cs="宋体"/>
                <w:sz w:val="24"/>
                <w:szCs w:val="24"/>
                <w:lang w:val="en-US" w:eastAsia="zh-CN"/>
              </w:rPr>
              <w:t>美</w:t>
            </w:r>
            <w:r>
              <w:rPr>
                <w:rFonts w:hint="default" w:ascii="宋体" w:hAnsi="宋体" w:eastAsia="宋体" w:cs="宋体"/>
                <w:sz w:val="24"/>
                <w:szCs w:val="24"/>
                <w:lang w:val="en-US" w:eastAsia="zh-CN"/>
              </w:rPr>
              <w:t>工区与操作区保持不变，</w:t>
            </w:r>
            <w:r>
              <w:rPr>
                <w:rFonts w:hint="eastAsia" w:ascii="宋体" w:hAnsi="宋体" w:cs="宋体"/>
                <w:sz w:val="24"/>
                <w:szCs w:val="24"/>
                <w:lang w:val="en-US" w:eastAsia="zh-CN"/>
              </w:rPr>
              <w:t>继续进行</w:t>
            </w:r>
            <w:r>
              <w:rPr>
                <w:rFonts w:hint="default" w:ascii="宋体" w:hAnsi="宋体" w:eastAsia="宋体" w:cs="宋体"/>
                <w:sz w:val="24"/>
                <w:szCs w:val="24"/>
                <w:lang w:val="en-US" w:eastAsia="zh-CN"/>
              </w:rPr>
              <w:t>扎染与敲染工艺</w:t>
            </w:r>
            <w:r>
              <w:rPr>
                <w:rFonts w:hint="eastAsia" w:ascii="宋体" w:hAnsi="宋体" w:cs="宋体"/>
                <w:sz w:val="24"/>
                <w:szCs w:val="24"/>
                <w:lang w:val="en-US" w:eastAsia="zh-CN"/>
              </w:rPr>
              <w:t>。</w:t>
            </w:r>
          </w:p>
          <w:p w14:paraId="0B2D7D51">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eastAsia" w:ascii="宋体" w:hAnsi="宋体" w:cs="宋体"/>
                <w:sz w:val="24"/>
                <w:szCs w:val="24"/>
                <w:lang w:val="en-US" w:eastAsia="zh-CN"/>
              </w:rPr>
            </w:pPr>
            <w:r>
              <w:rPr>
                <w:rFonts w:hint="default" w:ascii="宋体" w:hAnsi="宋体" w:eastAsia="宋体" w:cs="宋体"/>
                <w:kern w:val="0"/>
                <w:sz w:val="24"/>
                <w:szCs w:val="24"/>
                <w:lang w:val="en-US" w:eastAsia="zh-CN" w:bidi="ar-SA"/>
              </w:rPr>
              <w:t>2.</w:t>
            </w:r>
            <w:r>
              <w:rPr>
                <w:rFonts w:hint="default" w:ascii="宋体" w:hAnsi="宋体" w:eastAsia="宋体" w:cs="宋体"/>
                <w:sz w:val="24"/>
                <w:szCs w:val="24"/>
                <w:lang w:val="en-US" w:eastAsia="zh-CN"/>
              </w:rPr>
              <w:t>益智区增加色彩推理与几何构造教具</w:t>
            </w:r>
            <w:r>
              <w:rPr>
                <w:rFonts w:hint="eastAsia" w:ascii="宋体" w:hAnsi="宋体" w:cs="宋体"/>
                <w:sz w:val="24"/>
                <w:szCs w:val="24"/>
                <w:lang w:val="en-US" w:eastAsia="zh-CN"/>
              </w:rPr>
              <w:t>。</w:t>
            </w:r>
          </w:p>
          <w:p w14:paraId="60347A4A">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3.</w:t>
            </w:r>
            <w:r>
              <w:rPr>
                <w:rFonts w:hint="default" w:ascii="宋体" w:hAnsi="宋体" w:eastAsia="宋体" w:cs="宋体"/>
                <w:sz w:val="24"/>
                <w:szCs w:val="24"/>
                <w:lang w:val="en-US" w:eastAsia="zh-CN"/>
              </w:rPr>
              <w:t>科学区全面升级为“植物色素实验室”，探索自然色彩的化学变化</w:t>
            </w:r>
            <w:r>
              <w:rPr>
                <w:rFonts w:hint="eastAsia" w:ascii="宋体" w:hAnsi="宋体" w:cs="宋体"/>
                <w:sz w:val="24"/>
                <w:szCs w:val="24"/>
                <w:lang w:val="en-US" w:eastAsia="zh-CN"/>
              </w:rPr>
              <w:t>。</w:t>
            </w:r>
          </w:p>
          <w:p w14:paraId="1FF427A7">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4.</w:t>
            </w:r>
            <w:r>
              <w:rPr>
                <w:rFonts w:hint="default" w:ascii="宋体" w:hAnsi="宋体" w:eastAsia="宋体" w:cs="宋体"/>
                <w:sz w:val="24"/>
                <w:szCs w:val="24"/>
                <w:lang w:val="en-US" w:eastAsia="zh-CN"/>
              </w:rPr>
              <w:t>阅读区融入幼儿自制绘本并推行借阅积分激励</w:t>
            </w:r>
            <w:r>
              <w:rPr>
                <w:rFonts w:hint="eastAsia" w:ascii="宋体" w:hAnsi="宋体" w:cs="宋体"/>
                <w:sz w:val="24"/>
                <w:szCs w:val="24"/>
                <w:lang w:val="en-US" w:eastAsia="zh-CN"/>
              </w:rPr>
              <w:t>。</w:t>
            </w:r>
          </w:p>
          <w:p w14:paraId="58CAEE90">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5.</w:t>
            </w:r>
            <w:r>
              <w:rPr>
                <w:rFonts w:hint="default" w:ascii="宋体" w:hAnsi="宋体" w:eastAsia="宋体" w:cs="宋体"/>
                <w:sz w:val="24"/>
                <w:szCs w:val="24"/>
                <w:lang w:val="en-US" w:eastAsia="zh-CN"/>
              </w:rPr>
              <w:t>讲述区结合扎染手偶打造“手偶剧场”。</w:t>
            </w:r>
          </w:p>
          <w:p w14:paraId="6E47FEAC">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455F42C6">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39AEDD70">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3B683686">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3FE0DD58">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2DF40761">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4B20F95E">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759386CF">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3738CBB8">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1A81768C">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28DB2D2F">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ind w:firstLine="480" w:firstLineChars="200"/>
              <w:textAlignment w:val="auto"/>
              <w:rPr>
                <w:rFonts w:hint="default" w:ascii="宋体" w:hAnsi="宋体" w:eastAsia="宋体" w:cs="宋体"/>
                <w:sz w:val="24"/>
                <w:szCs w:val="24"/>
                <w:lang w:val="en-US" w:eastAsia="zh-CN"/>
              </w:rPr>
            </w:pPr>
          </w:p>
          <w:p w14:paraId="3B42F0A7">
            <w:pPr>
              <w:pStyle w:val="3"/>
              <w:keepNext w:val="0"/>
              <w:keepLines w:val="0"/>
              <w:pageBreakBefore w:val="0"/>
              <w:widowControl w:val="0"/>
              <w:numPr>
                <w:ilvl w:val="0"/>
                <w:numId w:val="0"/>
              </w:numPr>
              <w:kinsoku/>
              <w:wordWrap/>
              <w:overflowPunct/>
              <w:topLinePunct w:val="0"/>
              <w:autoSpaceDE/>
              <w:autoSpaceDN/>
              <w:bidi w:val="0"/>
              <w:adjustRightInd/>
              <w:snapToGrid/>
              <w:spacing w:after="0" w:afterLines="0" w:line="360" w:lineRule="auto"/>
              <w:textAlignment w:val="auto"/>
              <w:rPr>
                <w:rFonts w:hint="default" w:ascii="宋体" w:hAnsi="宋体" w:eastAsia="宋体" w:cs="宋体"/>
                <w:sz w:val="24"/>
                <w:szCs w:val="24"/>
                <w:lang w:val="en-US" w:eastAsia="zh-CN"/>
              </w:rPr>
            </w:pPr>
          </w:p>
        </w:tc>
      </w:tr>
    </w:tbl>
    <w:p w14:paraId="0F38147E"/>
    <w:sectPr>
      <w:pgSz w:w="11906" w:h="16838"/>
      <w:pgMar w:top="1134" w:right="1417" w:bottom="1134"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2E44D"/>
    <w:multiLevelType w:val="singleLevel"/>
    <w:tmpl w:val="F932E44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FB4E5"/>
    <w:rsid w:val="029E3579"/>
    <w:rsid w:val="0AC7549A"/>
    <w:rsid w:val="5EF39E99"/>
    <w:rsid w:val="6BA77929"/>
    <w:rsid w:val="7B4056A4"/>
    <w:rsid w:val="7DAFB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pPr>
    <w:rPr>
      <w:rFonts w:hint="eastAsia"/>
    </w:rPr>
  </w:style>
  <w:style w:type="paragraph" w:styleId="3">
    <w:name w:val="Body Text First Indent"/>
    <w:basedOn w:val="2"/>
    <w:qFormat/>
    <w:uiPriority w:val="0"/>
    <w:pPr>
      <w:ind w:firstLine="420" w:firstLineChars="100"/>
    </w:pPr>
    <w:rPr>
      <w:rFonts w:ascii="Calibri" w:hAnsi="Calibri"/>
      <w:kern w:val="0"/>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2497</Words>
  <Characters>2515</Characters>
  <Lines>0</Lines>
  <Paragraphs>0</Paragraphs>
  <TotalTime>12</TotalTime>
  <ScaleCrop>false</ScaleCrop>
  <LinksUpToDate>false</LinksUpToDate>
  <CharactersWithSpaces>2528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2026-05-27T04:45:00Z</dcterms:created>
  <dc:creator>y</dc:creator>
  <cp:lastModifiedBy>y</cp:lastModifiedBy>
  <dcterms:modified xsi:type="dcterms:W3CDTF">2026-06-05T18:09:29Z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4FC75794CCF464BA59A0226AE8E0CC22_43</vt:lpwstr>
  </property>
  <property fmtid="{D5CDD505-2E9C-101B-9397-08002B2CF9AE}" pid="4" name="KSOTemplateDocerSaveRecord">
    <vt:lpwstr>eyJoZGlkIjoiNjk4ZWE0NTZkMWQ2ZjdkNzJmZTE0NWExZjU4MmFhNzQiLCJ1c2VySWQiOiI2ODI3MDg3MDEifQ==</vt:lpwstr>
  </property>
</Properties>
</file>