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设备编号</w:t>
            </w:r>
          </w:p>
        </w:tc>
        <w:tc>
          <w:tcPr>
            <w:tcW w:type="dxa" w:w="4320"/>
          </w:tcPr>
          <w:p>
            <w:r>
              <w:t>设备名称</w:t>
            </w:r>
          </w:p>
        </w:tc>
      </w:tr>
      <w:tr>
        <w:tc>
          <w:tcPr>
            <w:tcW w:type="dxa" w:w="4320"/>
          </w:tcPr>
          <w:p>
            <w:r>
              <w:t>CT64201</w:t>
            </w:r>
          </w:p>
        </w:tc>
        <w:tc>
          <w:tcPr>
            <w:tcW w:type="dxa" w:w="4320"/>
          </w:tcPr>
          <w:p>
            <w:r>
              <w:t>压片机</w:t>
            </w:r>
          </w:p>
        </w:tc>
      </w:tr>
    </w:tbl>
    <w:p>
      <w:r>
        <w:t>若设备用于高致敏药品生产，则必须执行专用化管理。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