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
        <w:gridCol w:w="4790"/>
        <w:gridCol w:w="1347"/>
        <w:gridCol w:w="1101"/>
        <w:gridCol w:w="551"/>
      </w:tblGrid>
      <w:tr w14:paraId="184962E7">
        <w:trPr>
          <w:trHeight w:val="513" w:hRule="atLeast"/>
        </w:trPr>
        <w:tc>
          <w:tcPr>
            <w:tcW w:w="5307" w:type="dxa"/>
            <w:gridSpan w:val="2"/>
            <w:tcBorders>
              <w:bottom w:val="single" w:color="auto" w:sz="6" w:space="0"/>
            </w:tcBorders>
          </w:tcPr>
          <w:p w14:paraId="7F3BB34B">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条目内容</w:t>
            </w:r>
          </w:p>
          <w:p w14:paraId="0BDCF5CD">
            <w:pPr>
              <w:spacing w:line="240" w:lineRule="exact"/>
              <w:rPr>
                <w:rFonts w:hint="default" w:ascii="Times New Roman Regular" w:hAnsi="Times New Roman Regular" w:eastAsia="宋体" w:cs="Times New Roman Regular"/>
                <w:color w:val="000000"/>
                <w:kern w:val="0"/>
                <w:sz w:val="15"/>
                <w:szCs w:val="15"/>
              </w:rPr>
            </w:pPr>
          </w:p>
        </w:tc>
        <w:tc>
          <w:tcPr>
            <w:tcW w:w="1347" w:type="dxa"/>
            <w:tcBorders>
              <w:bottom w:val="single" w:color="auto" w:sz="6" w:space="0"/>
            </w:tcBorders>
          </w:tcPr>
          <w:p w14:paraId="13386CE7">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干预方式</w:t>
            </w:r>
          </w:p>
        </w:tc>
        <w:tc>
          <w:tcPr>
            <w:tcW w:w="1101" w:type="dxa"/>
            <w:tcBorders>
              <w:bottom w:val="single" w:color="auto" w:sz="6" w:space="0"/>
            </w:tcBorders>
          </w:tcPr>
          <w:p w14:paraId="176C44C5">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重要性评分（分，</w:t>
            </w:r>
            <m:oMath>
              <m:acc>
                <m:accPr>
                  <m:chr m:val="̅"/>
                  <m:ctrlPr>
                    <w:rPr>
                      <w:rFonts w:hint="default" w:ascii="DejaVu Math TeX Gyre" w:hAnsi="DejaVu Math TeX Gyre" w:eastAsia="宋体" w:cs="Times New Roman Regular"/>
                      <w:i/>
                      <w:sz w:val="15"/>
                      <w:szCs w:val="15"/>
                    </w:rPr>
                  </m:ctrlPr>
                </m:accPr>
                <m:e>
                  <m:r>
                    <m:rPr/>
                    <w:rPr>
                      <w:rFonts w:hint="default" w:ascii="DejaVu Math TeX Gyre" w:hAnsi="DejaVu Math TeX Gyre" w:eastAsia="宋体" w:cs="Times New Roman Regular"/>
                      <w:sz w:val="15"/>
                      <w:szCs w:val="15"/>
                    </w:rPr>
                    <m:t>x</m:t>
                  </m:r>
                  <m:ctrlPr>
                    <w:rPr>
                      <w:rFonts w:hint="default" w:ascii="DejaVu Math TeX Gyre" w:hAnsi="DejaVu Math TeX Gyre" w:eastAsia="宋体" w:cs="Times New Roman Regular"/>
                      <w:i/>
                      <w:sz w:val="15"/>
                      <w:szCs w:val="15"/>
                    </w:rPr>
                  </m:ctrlPr>
                </m:e>
              </m:acc>
            </m:oMath>
            <w:r>
              <w:rPr>
                <w:rFonts w:hint="default" w:ascii="Times New Roman Regular" w:hAnsi="Times New Roman Regular" w:eastAsia="宋体" w:cs="Times New Roman Regular"/>
                <w:sz w:val="15"/>
                <w:szCs w:val="15"/>
              </w:rPr>
              <w:t>±s）</w:t>
            </w:r>
          </w:p>
        </w:tc>
        <w:tc>
          <w:tcPr>
            <w:tcW w:w="551" w:type="dxa"/>
            <w:tcBorders>
              <w:bottom w:val="single" w:color="auto" w:sz="6" w:space="0"/>
            </w:tcBorders>
          </w:tcPr>
          <w:p w14:paraId="74AE7BA3">
            <w:pPr>
              <w:spacing w:line="240" w:lineRule="exact"/>
              <w:rPr>
                <w:rFonts w:hint="default" w:ascii="Times New Roman Regular" w:hAnsi="Times New Roman Regular" w:eastAsia="宋体" w:cs="Times New Roman Regular"/>
                <w:sz w:val="15"/>
                <w:szCs w:val="15"/>
              </w:rPr>
            </w:pPr>
            <w:r>
              <w:rPr>
                <w:rFonts w:hint="default" w:ascii="Times New Roman Regular" w:hAnsi="Times New Roman Regular" w:eastAsia="宋体" w:cs="Times New Roman Regular"/>
                <w:sz w:val="15"/>
                <w:szCs w:val="15"/>
              </w:rPr>
              <w:t>变异系数</w:t>
            </w:r>
          </w:p>
        </w:tc>
      </w:tr>
      <w:tr w14:paraId="3DC6A1B4">
        <w:trPr>
          <w:trHeight w:val="309" w:hRule="atLeast"/>
        </w:trPr>
        <w:tc>
          <w:tcPr>
            <w:tcW w:w="6654" w:type="dxa"/>
            <w:gridSpan w:val="3"/>
            <w:tcBorders>
              <w:top w:val="single" w:color="auto" w:sz="6" w:space="0"/>
            </w:tcBorders>
          </w:tcPr>
          <w:p w14:paraId="09D2AD6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1.日常皮肤管理</w:t>
            </w:r>
          </w:p>
        </w:tc>
        <w:tc>
          <w:tcPr>
            <w:tcW w:w="1101" w:type="dxa"/>
            <w:tcBorders>
              <w:top w:val="single" w:color="auto" w:sz="6" w:space="0"/>
            </w:tcBorders>
          </w:tcPr>
          <w:p w14:paraId="2EA4BE9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5.00</w:t>
            </w:r>
            <w:r>
              <w:rPr>
                <w:rFonts w:hint="default" w:ascii="Times New Roman Regular" w:hAnsi="Times New Roman Regular" w:eastAsia="宋体" w:cs="Times New Roman Regular"/>
                <w:sz w:val="15"/>
                <w:szCs w:val="15"/>
              </w:rPr>
              <w:t>±0.00</w:t>
            </w:r>
          </w:p>
        </w:tc>
        <w:tc>
          <w:tcPr>
            <w:tcW w:w="551" w:type="dxa"/>
            <w:tcBorders>
              <w:top w:val="single" w:color="auto" w:sz="6" w:space="0"/>
            </w:tcBorders>
          </w:tcPr>
          <w:p w14:paraId="2FE276C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0.00</w:t>
            </w:r>
          </w:p>
        </w:tc>
      </w:tr>
      <w:tr w14:paraId="2361C544">
        <w:trPr>
          <w:trHeight w:val="90" w:hRule="atLeast"/>
        </w:trPr>
        <w:tc>
          <w:tcPr>
            <w:tcW w:w="6654" w:type="dxa"/>
            <w:gridSpan w:val="3"/>
          </w:tcPr>
          <w:p w14:paraId="4B0332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1.1环境要求</w:t>
            </w:r>
          </w:p>
        </w:tc>
        <w:tc>
          <w:tcPr>
            <w:tcW w:w="1101" w:type="dxa"/>
          </w:tcPr>
          <w:p w14:paraId="2D496D9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738A961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7FE70DC3">
        <w:trPr>
          <w:trHeight w:val="255" w:hRule="atLeast"/>
        </w:trPr>
        <w:tc>
          <w:tcPr>
            <w:tcW w:w="517" w:type="dxa"/>
          </w:tcPr>
          <w:p w14:paraId="064258F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1.1.1</w:t>
            </w:r>
          </w:p>
        </w:tc>
        <w:tc>
          <w:tcPr>
            <w:tcW w:w="4790" w:type="dxa"/>
          </w:tcPr>
          <w:p w14:paraId="6F57E9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居家环境清洁、温湿度适宜，避免温湿度过高</w:t>
            </w:r>
          </w:p>
        </w:tc>
        <w:tc>
          <w:tcPr>
            <w:tcW w:w="1347" w:type="dxa"/>
          </w:tcPr>
          <w:p w14:paraId="33524E2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tcPr>
          <w:p w14:paraId="769F71F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7257E61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7EB6CB3D">
        <w:trPr>
          <w:trHeight w:val="277" w:hRule="atLeast"/>
        </w:trPr>
        <w:tc>
          <w:tcPr>
            <w:tcW w:w="517" w:type="dxa"/>
          </w:tcPr>
          <w:p w14:paraId="4CD65B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1.1.2</w:t>
            </w:r>
          </w:p>
        </w:tc>
        <w:tc>
          <w:tcPr>
            <w:tcW w:w="4790" w:type="dxa"/>
          </w:tcPr>
          <w:p w14:paraId="7C70BA3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减少可能造成皮肤摩擦或损伤的环境风险因素（如粗糙床单、硬质玩具）</w:t>
            </w:r>
          </w:p>
        </w:tc>
        <w:tc>
          <w:tcPr>
            <w:tcW w:w="1347" w:type="dxa"/>
          </w:tcPr>
          <w:p w14:paraId="3B271F5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tcPr>
          <w:p w14:paraId="5910516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±0.58</w:t>
            </w:r>
          </w:p>
        </w:tc>
        <w:tc>
          <w:tcPr>
            <w:tcW w:w="551" w:type="dxa"/>
          </w:tcPr>
          <w:p w14:paraId="5C41137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0.12</w:t>
            </w:r>
          </w:p>
        </w:tc>
      </w:tr>
      <w:tr w14:paraId="70EE7EB4">
        <w:trPr>
          <w:trHeight w:val="271" w:hRule="atLeast"/>
        </w:trPr>
        <w:tc>
          <w:tcPr>
            <w:tcW w:w="6654" w:type="dxa"/>
            <w:gridSpan w:val="3"/>
          </w:tcPr>
          <w:p w14:paraId="0E1C590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1.2皮肤评估</w:t>
            </w:r>
          </w:p>
        </w:tc>
        <w:tc>
          <w:tcPr>
            <w:tcW w:w="1101" w:type="dxa"/>
          </w:tcPr>
          <w:p w14:paraId="6100ED7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7E0FDB4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4B434EB4">
        <w:trPr>
          <w:trHeight w:val="349" w:hRule="atLeast"/>
        </w:trPr>
        <w:tc>
          <w:tcPr>
            <w:tcW w:w="517" w:type="dxa"/>
          </w:tcPr>
          <w:p w14:paraId="7ABFBA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1.2.1</w:t>
            </w:r>
          </w:p>
        </w:tc>
        <w:tc>
          <w:tcPr>
            <w:tcW w:w="4790" w:type="dxa"/>
          </w:tcPr>
          <w:p w14:paraId="131CD52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评估频率：每日1次，晨起或睡前进行</w:t>
            </w:r>
          </w:p>
        </w:tc>
        <w:tc>
          <w:tcPr>
            <w:tcW w:w="1347" w:type="dxa"/>
          </w:tcPr>
          <w:p w14:paraId="7810135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告知评估频率</w:t>
            </w:r>
          </w:p>
        </w:tc>
        <w:tc>
          <w:tcPr>
            <w:tcW w:w="1101" w:type="dxa"/>
          </w:tcPr>
          <w:p w14:paraId="3C2FBB5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±0.60</w:t>
            </w:r>
          </w:p>
        </w:tc>
        <w:tc>
          <w:tcPr>
            <w:tcW w:w="551" w:type="dxa"/>
          </w:tcPr>
          <w:p w14:paraId="72F621D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17BE381C">
        <w:trPr>
          <w:trHeight w:val="503" w:hRule="atLeast"/>
        </w:trPr>
        <w:tc>
          <w:tcPr>
            <w:tcW w:w="517" w:type="dxa"/>
          </w:tcPr>
          <w:p w14:paraId="14BDCD7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1.2.2</w:t>
            </w:r>
          </w:p>
        </w:tc>
        <w:tc>
          <w:tcPr>
            <w:tcW w:w="4790" w:type="dxa"/>
          </w:tcPr>
          <w:p w14:paraId="28580E2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评估部位：骨突处及受压部位有无水泡或皮损，对于婴幼儿，还需评估尿布区域</w:t>
            </w:r>
          </w:p>
        </w:tc>
        <w:tc>
          <w:tcPr>
            <w:tcW w:w="1347" w:type="dxa"/>
          </w:tcPr>
          <w:p w14:paraId="159A4E5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示范如何进行评估及重点部位</w:t>
            </w:r>
          </w:p>
        </w:tc>
        <w:tc>
          <w:tcPr>
            <w:tcW w:w="1101" w:type="dxa"/>
          </w:tcPr>
          <w:p w14:paraId="20391D6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tcPr>
          <w:p w14:paraId="4B49F19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5589C803">
        <w:trPr>
          <w:trHeight w:val="214" w:hRule="atLeast"/>
        </w:trPr>
        <w:tc>
          <w:tcPr>
            <w:tcW w:w="6654" w:type="dxa"/>
            <w:gridSpan w:val="3"/>
          </w:tcPr>
          <w:p w14:paraId="12FBD6C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1.3皮肤清洁与保护</w:t>
            </w:r>
          </w:p>
        </w:tc>
        <w:tc>
          <w:tcPr>
            <w:tcW w:w="1101" w:type="dxa"/>
          </w:tcPr>
          <w:p w14:paraId="657EEE0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4.56</w:t>
            </w:r>
            <w:r>
              <w:rPr>
                <w:rFonts w:hint="default" w:ascii="Times New Roman Regular" w:hAnsi="Times New Roman Regular" w:eastAsia="宋体" w:cs="Times New Roman Regular"/>
                <w:sz w:val="15"/>
                <w:szCs w:val="15"/>
              </w:rPr>
              <w:t>±0.63</w:t>
            </w:r>
          </w:p>
        </w:tc>
        <w:tc>
          <w:tcPr>
            <w:tcW w:w="551" w:type="dxa"/>
          </w:tcPr>
          <w:p w14:paraId="24C9166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3AA82387">
        <w:trPr>
          <w:trHeight w:val="214" w:hRule="atLeast"/>
        </w:trPr>
        <w:tc>
          <w:tcPr>
            <w:tcW w:w="517" w:type="dxa"/>
          </w:tcPr>
          <w:p w14:paraId="2C8632D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1.3.1</w:t>
            </w:r>
          </w:p>
        </w:tc>
        <w:tc>
          <w:tcPr>
            <w:tcW w:w="4790" w:type="dxa"/>
          </w:tcPr>
          <w:p w14:paraId="53CEFB4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洗澡：①重型EB或开放伤口患者使用自配0.9%的盐水沐浴；②新生儿在出生时造成的皮肤损伤尚未愈合前，避免沐浴</w:t>
            </w:r>
          </w:p>
        </w:tc>
        <w:tc>
          <w:tcPr>
            <w:tcW w:w="1347" w:type="dxa"/>
          </w:tcPr>
          <w:p w14:paraId="18BDA1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示范沐浴流程</w:t>
            </w:r>
          </w:p>
        </w:tc>
        <w:tc>
          <w:tcPr>
            <w:tcW w:w="1101" w:type="dxa"/>
          </w:tcPr>
          <w:p w14:paraId="28E0685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tcPr>
          <w:p w14:paraId="007F2E1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7D84BC2C">
        <w:trPr>
          <w:trHeight w:val="214" w:hRule="atLeast"/>
        </w:trPr>
        <w:tc>
          <w:tcPr>
            <w:tcW w:w="517" w:type="dxa"/>
            <w:vAlign w:val="top"/>
          </w:tcPr>
          <w:p w14:paraId="381A0B2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1.3.2</w:t>
            </w:r>
          </w:p>
        </w:tc>
        <w:tc>
          <w:tcPr>
            <w:tcW w:w="4790" w:type="dxa"/>
            <w:vAlign w:val="top"/>
          </w:tcPr>
          <w:p w14:paraId="3F1841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皮肤保护：①沐浴后立即使用无香料、低敏性润肤剂（如液体石蜡＋凡士林）进行涂抹；②根据活动度及活动部位，使用物理防护（筒状弹性绷带或定制防护衣物）预防机械性损伤；③中重度RDEB及手部反复水疱瘢痕形成的患者：使用分指手套或使用软硅胶泡沫、浸有石蜡的纱布，将其切成条状进行手指分离</w:t>
            </w:r>
          </w:p>
        </w:tc>
        <w:tc>
          <w:tcPr>
            <w:tcW w:w="1347" w:type="dxa"/>
            <w:vAlign w:val="top"/>
          </w:tcPr>
          <w:p w14:paraId="0EE3964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示范涂抹手法，图片展示防护用具，及如何进行分指包扎</w:t>
            </w:r>
          </w:p>
        </w:tc>
        <w:tc>
          <w:tcPr>
            <w:tcW w:w="1101" w:type="dxa"/>
            <w:vAlign w:val="top"/>
          </w:tcPr>
          <w:p w14:paraId="6AAD0E4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4.56</w:t>
            </w:r>
            <w:r>
              <w:rPr>
                <w:rFonts w:hint="default" w:ascii="Times New Roman Regular" w:hAnsi="Times New Roman Regular" w:eastAsia="宋体" w:cs="Times New Roman Regular"/>
                <w:sz w:val="15"/>
                <w:szCs w:val="15"/>
              </w:rPr>
              <w:t>±0.51</w:t>
            </w:r>
          </w:p>
        </w:tc>
        <w:tc>
          <w:tcPr>
            <w:tcW w:w="551" w:type="dxa"/>
            <w:vAlign w:val="top"/>
          </w:tcPr>
          <w:p w14:paraId="0F09520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6C054AE2">
        <w:trPr>
          <w:trHeight w:val="214" w:hRule="atLeast"/>
        </w:trPr>
        <w:tc>
          <w:tcPr>
            <w:tcW w:w="517" w:type="dxa"/>
            <w:vAlign w:val="top"/>
          </w:tcPr>
          <w:p w14:paraId="7D5FC45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1.3.3</w:t>
            </w:r>
          </w:p>
        </w:tc>
        <w:tc>
          <w:tcPr>
            <w:tcW w:w="4790" w:type="dxa"/>
            <w:vAlign w:val="top"/>
          </w:tcPr>
          <w:p w14:paraId="29264C4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衣物选择：①选择柔软、无接缝、宽松的衣物（推荐棉质、丝质服装），并建议采取反穿衣物、剪除标签等方式减少摩擦皮损；②选择鞋头为圆形，趾头处有充裕的空间，有防滑的鞋带，鞋内部较平或没有接缝的鞋子</w:t>
            </w:r>
          </w:p>
        </w:tc>
        <w:tc>
          <w:tcPr>
            <w:tcW w:w="1347" w:type="dxa"/>
            <w:vAlign w:val="top"/>
          </w:tcPr>
          <w:p w14:paraId="5227789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图片展示柔软衣物及科普图文</w:t>
            </w:r>
          </w:p>
        </w:tc>
        <w:tc>
          <w:tcPr>
            <w:tcW w:w="1101" w:type="dxa"/>
            <w:vAlign w:val="top"/>
          </w:tcPr>
          <w:p w14:paraId="479C68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01075D7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0902010D">
        <w:trPr>
          <w:trHeight w:val="214" w:hRule="atLeast"/>
        </w:trPr>
        <w:tc>
          <w:tcPr>
            <w:tcW w:w="517" w:type="dxa"/>
            <w:vAlign w:val="top"/>
          </w:tcPr>
          <w:p w14:paraId="5D19B6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1.3.4</w:t>
            </w:r>
          </w:p>
        </w:tc>
        <w:tc>
          <w:tcPr>
            <w:tcW w:w="4790" w:type="dxa"/>
            <w:vAlign w:val="top"/>
          </w:tcPr>
          <w:p w14:paraId="41FC107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体位转移:使用侧抱法及辅助工具（软垫），最小化剪切力和摩擦力</w:t>
            </w:r>
          </w:p>
        </w:tc>
        <w:tc>
          <w:tcPr>
            <w:tcW w:w="1347" w:type="dxa"/>
            <w:vAlign w:val="top"/>
          </w:tcPr>
          <w:p w14:paraId="72E2662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演示正确抱姿与体位安置技巧</w:t>
            </w:r>
          </w:p>
        </w:tc>
        <w:tc>
          <w:tcPr>
            <w:tcW w:w="1101" w:type="dxa"/>
            <w:vAlign w:val="top"/>
          </w:tcPr>
          <w:p w14:paraId="7AAABDA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4.82</w:t>
            </w:r>
            <w:r>
              <w:rPr>
                <w:rFonts w:hint="default" w:ascii="Times New Roman Regular" w:hAnsi="Times New Roman Regular" w:eastAsia="宋体" w:cs="Times New Roman Regular"/>
                <w:sz w:val="15"/>
                <w:szCs w:val="15"/>
              </w:rPr>
              <w:t>±0.60</w:t>
            </w:r>
          </w:p>
        </w:tc>
        <w:tc>
          <w:tcPr>
            <w:tcW w:w="551" w:type="dxa"/>
            <w:vAlign w:val="top"/>
          </w:tcPr>
          <w:p w14:paraId="5E5D400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39C9F177">
        <w:trPr>
          <w:trHeight w:val="214" w:hRule="atLeast"/>
        </w:trPr>
        <w:tc>
          <w:tcPr>
            <w:tcW w:w="517" w:type="dxa"/>
            <w:vAlign w:val="top"/>
          </w:tcPr>
          <w:p w14:paraId="73ABA85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1.3.5</w:t>
            </w:r>
          </w:p>
        </w:tc>
        <w:tc>
          <w:tcPr>
            <w:tcW w:w="4790" w:type="dxa"/>
            <w:vAlign w:val="top"/>
          </w:tcPr>
          <w:p w14:paraId="4B4D13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特殊患者：①KS患者需早期做好物理及化学防晒措施；②小于6个月的患者应使用物理防晒</w:t>
            </w:r>
          </w:p>
        </w:tc>
        <w:tc>
          <w:tcPr>
            <w:tcW w:w="1347" w:type="dxa"/>
            <w:vAlign w:val="top"/>
          </w:tcPr>
          <w:p w14:paraId="53AD626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vAlign w:val="top"/>
          </w:tcPr>
          <w:p w14:paraId="704A319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±0.52</w:t>
            </w:r>
          </w:p>
        </w:tc>
        <w:tc>
          <w:tcPr>
            <w:tcW w:w="551" w:type="dxa"/>
            <w:vAlign w:val="top"/>
          </w:tcPr>
          <w:p w14:paraId="5591B0D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56019B69">
        <w:trPr>
          <w:trHeight w:val="214" w:hRule="atLeast"/>
        </w:trPr>
        <w:tc>
          <w:tcPr>
            <w:tcW w:w="6654" w:type="dxa"/>
            <w:gridSpan w:val="3"/>
            <w:vAlign w:val="top"/>
          </w:tcPr>
          <w:p w14:paraId="2DFF3E3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1.4皮肤瘙痒</w:t>
            </w:r>
          </w:p>
        </w:tc>
        <w:tc>
          <w:tcPr>
            <w:tcW w:w="1101" w:type="dxa"/>
            <w:vAlign w:val="top"/>
          </w:tcPr>
          <w:p w14:paraId="6A6D45B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397B2E9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54C2AE17">
        <w:trPr>
          <w:trHeight w:val="214" w:hRule="atLeast"/>
        </w:trPr>
        <w:tc>
          <w:tcPr>
            <w:tcW w:w="517" w:type="dxa"/>
            <w:vAlign w:val="top"/>
          </w:tcPr>
          <w:p w14:paraId="4FA8F0A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1.4.1</w:t>
            </w:r>
          </w:p>
        </w:tc>
        <w:tc>
          <w:tcPr>
            <w:tcW w:w="4790" w:type="dxa"/>
            <w:vAlign w:val="top"/>
          </w:tcPr>
          <w:p w14:paraId="4D20678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行为干预技术：吹气、使用末端圆钝的按摩装置按压</w:t>
            </w:r>
          </w:p>
        </w:tc>
        <w:tc>
          <w:tcPr>
            <w:tcW w:w="1347" w:type="dxa"/>
            <w:vAlign w:val="top"/>
          </w:tcPr>
          <w:p w14:paraId="286DD1E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演示行为替代技巧</w:t>
            </w:r>
          </w:p>
        </w:tc>
        <w:tc>
          <w:tcPr>
            <w:tcW w:w="1101" w:type="dxa"/>
            <w:vAlign w:val="top"/>
          </w:tcPr>
          <w:p w14:paraId="39554BB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D3DF50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22EB431B">
        <w:trPr>
          <w:trHeight w:val="214" w:hRule="atLeast"/>
        </w:trPr>
        <w:tc>
          <w:tcPr>
            <w:tcW w:w="517" w:type="dxa"/>
            <w:vAlign w:val="top"/>
          </w:tcPr>
          <w:p w14:paraId="3CDE59C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1.4.2</w:t>
            </w:r>
          </w:p>
        </w:tc>
        <w:tc>
          <w:tcPr>
            <w:tcW w:w="4790" w:type="dxa"/>
            <w:vAlign w:val="top"/>
          </w:tcPr>
          <w:p w14:paraId="22717F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认知行为策略：放松训练、转移注意力、深呼吸</w:t>
            </w:r>
          </w:p>
        </w:tc>
        <w:tc>
          <w:tcPr>
            <w:tcW w:w="1347" w:type="dxa"/>
            <w:vAlign w:val="top"/>
          </w:tcPr>
          <w:p w14:paraId="47FFB3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提供科普图文</w:t>
            </w:r>
          </w:p>
        </w:tc>
        <w:tc>
          <w:tcPr>
            <w:tcW w:w="1101" w:type="dxa"/>
            <w:vAlign w:val="top"/>
          </w:tcPr>
          <w:p w14:paraId="0D8306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±0.50</w:t>
            </w:r>
          </w:p>
        </w:tc>
        <w:tc>
          <w:tcPr>
            <w:tcW w:w="551" w:type="dxa"/>
            <w:vAlign w:val="top"/>
          </w:tcPr>
          <w:p w14:paraId="7169A0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BD582A4">
        <w:trPr>
          <w:trHeight w:val="214" w:hRule="atLeast"/>
        </w:trPr>
        <w:tc>
          <w:tcPr>
            <w:tcW w:w="517" w:type="dxa"/>
            <w:vAlign w:val="top"/>
          </w:tcPr>
          <w:p w14:paraId="1AD3CF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1.4.3</w:t>
            </w:r>
          </w:p>
        </w:tc>
        <w:tc>
          <w:tcPr>
            <w:tcW w:w="4790" w:type="dxa"/>
            <w:vAlign w:val="top"/>
          </w:tcPr>
          <w:p w14:paraId="236215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药物使用：遵医嘱使用抗组胺药、加巴喷丁、普瑞巴林</w:t>
            </w:r>
          </w:p>
        </w:tc>
        <w:tc>
          <w:tcPr>
            <w:tcW w:w="1347" w:type="dxa"/>
            <w:vAlign w:val="top"/>
          </w:tcPr>
          <w:p w14:paraId="71F12E0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1D6658A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8ABFE2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76E7B8D9">
        <w:trPr>
          <w:trHeight w:val="214" w:hRule="atLeast"/>
        </w:trPr>
        <w:tc>
          <w:tcPr>
            <w:tcW w:w="6654" w:type="dxa"/>
            <w:gridSpan w:val="3"/>
            <w:vAlign w:val="top"/>
          </w:tcPr>
          <w:p w14:paraId="028B5FC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2.创面管理</w:t>
            </w:r>
          </w:p>
        </w:tc>
        <w:tc>
          <w:tcPr>
            <w:tcW w:w="1101" w:type="dxa"/>
            <w:vAlign w:val="top"/>
          </w:tcPr>
          <w:p w14:paraId="6C7D100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4.38</w:t>
            </w:r>
            <w:r>
              <w:rPr>
                <w:rFonts w:hint="default" w:ascii="Times New Roman Regular" w:hAnsi="Times New Roman Regular" w:eastAsia="宋体" w:cs="Times New Roman Regular"/>
                <w:sz w:val="15"/>
                <w:szCs w:val="15"/>
              </w:rPr>
              <w:t>±0.62</w:t>
            </w:r>
          </w:p>
        </w:tc>
        <w:tc>
          <w:tcPr>
            <w:tcW w:w="551" w:type="dxa"/>
            <w:vAlign w:val="top"/>
          </w:tcPr>
          <w:p w14:paraId="09030D4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4F877BEB">
        <w:trPr>
          <w:trHeight w:val="214" w:hRule="atLeast"/>
        </w:trPr>
        <w:tc>
          <w:tcPr>
            <w:tcW w:w="6654" w:type="dxa"/>
            <w:gridSpan w:val="3"/>
            <w:vAlign w:val="top"/>
          </w:tcPr>
          <w:p w14:paraId="2120B33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2.1伤口评估</w:t>
            </w:r>
          </w:p>
        </w:tc>
        <w:tc>
          <w:tcPr>
            <w:tcW w:w="1101" w:type="dxa"/>
            <w:vAlign w:val="top"/>
          </w:tcPr>
          <w:p w14:paraId="22F039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19648D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C33A740">
        <w:trPr>
          <w:trHeight w:val="214" w:hRule="atLeast"/>
        </w:trPr>
        <w:tc>
          <w:tcPr>
            <w:tcW w:w="517" w:type="dxa"/>
            <w:vAlign w:val="top"/>
          </w:tcPr>
          <w:p w14:paraId="4C5A78F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2.1.1</w:t>
            </w:r>
          </w:p>
        </w:tc>
        <w:tc>
          <w:tcPr>
            <w:tcW w:w="4790" w:type="dxa"/>
            <w:vAlign w:val="top"/>
          </w:tcPr>
          <w:p w14:paraId="1FA4F6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评估原则及内容：①使用“WBP”伤口原则整体评估；②包括伤口颜色、渗液量及性质、周围皮肤是否红肿、伤口气味</w:t>
            </w:r>
          </w:p>
        </w:tc>
        <w:tc>
          <w:tcPr>
            <w:tcW w:w="1347" w:type="dxa"/>
            <w:vAlign w:val="top"/>
          </w:tcPr>
          <w:p w14:paraId="3937B7A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演示正确伤口评估方式</w:t>
            </w:r>
          </w:p>
        </w:tc>
        <w:tc>
          <w:tcPr>
            <w:tcW w:w="1101" w:type="dxa"/>
            <w:vAlign w:val="top"/>
          </w:tcPr>
          <w:p w14:paraId="0757C73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8DC8B8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54523B0D">
        <w:trPr>
          <w:trHeight w:val="214" w:hRule="atLeast"/>
        </w:trPr>
        <w:tc>
          <w:tcPr>
            <w:tcW w:w="6654" w:type="dxa"/>
            <w:gridSpan w:val="3"/>
            <w:vAlign w:val="top"/>
          </w:tcPr>
          <w:p w14:paraId="2423F15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2.2清洁与清创</w:t>
            </w:r>
          </w:p>
        </w:tc>
        <w:tc>
          <w:tcPr>
            <w:tcW w:w="1101" w:type="dxa"/>
            <w:vAlign w:val="top"/>
          </w:tcPr>
          <w:p w14:paraId="7925CB2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4.19</w:t>
            </w:r>
            <w:r>
              <w:rPr>
                <w:rFonts w:hint="default" w:ascii="Times New Roman Regular" w:hAnsi="Times New Roman Regular" w:eastAsia="宋体" w:cs="Times New Roman Regular"/>
                <w:sz w:val="15"/>
                <w:szCs w:val="15"/>
              </w:rPr>
              <w:t>±0.66</w:t>
            </w:r>
          </w:p>
        </w:tc>
        <w:tc>
          <w:tcPr>
            <w:tcW w:w="551" w:type="dxa"/>
            <w:vAlign w:val="top"/>
          </w:tcPr>
          <w:p w14:paraId="768B95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516CC7B5">
        <w:trPr>
          <w:trHeight w:val="214" w:hRule="atLeast"/>
        </w:trPr>
        <w:tc>
          <w:tcPr>
            <w:tcW w:w="517" w:type="dxa"/>
            <w:vAlign w:val="top"/>
          </w:tcPr>
          <w:p w14:paraId="7B8540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2.2.1</w:t>
            </w:r>
          </w:p>
        </w:tc>
        <w:tc>
          <w:tcPr>
            <w:tcW w:w="4790" w:type="dxa"/>
            <w:vAlign w:val="top"/>
          </w:tcPr>
          <w:p w14:paraId="314C44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清洁溶液：①未感染伤口使用生理盐水、无菌注射水、生理盐水加液体石蜡等低毒温热性溶液；②细菌定植或感染伤口使用含有PHMB的清洗溶液；③新生儿不适用含PHMB的清洗溶液</w:t>
            </w:r>
          </w:p>
        </w:tc>
        <w:tc>
          <w:tcPr>
            <w:tcW w:w="1347" w:type="dxa"/>
            <w:vAlign w:val="top"/>
          </w:tcPr>
          <w:p w14:paraId="3D369D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告知如何选择清洁溶液</w:t>
            </w:r>
          </w:p>
        </w:tc>
        <w:tc>
          <w:tcPr>
            <w:tcW w:w="1101" w:type="dxa"/>
            <w:vAlign w:val="top"/>
          </w:tcPr>
          <w:p w14:paraId="41CC799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65CD74E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07E190DE">
        <w:trPr>
          <w:trHeight w:val="214" w:hRule="atLeast"/>
        </w:trPr>
        <w:tc>
          <w:tcPr>
            <w:tcW w:w="517" w:type="dxa"/>
            <w:vAlign w:val="top"/>
          </w:tcPr>
          <w:p w14:paraId="6426272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2.2.2</w:t>
            </w:r>
          </w:p>
        </w:tc>
        <w:tc>
          <w:tcPr>
            <w:tcW w:w="4790" w:type="dxa"/>
            <w:vAlign w:val="top"/>
          </w:tcPr>
          <w:p w14:paraId="6EECC7D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清洗方式：脉冲式清洗伤口</w:t>
            </w:r>
          </w:p>
        </w:tc>
        <w:tc>
          <w:tcPr>
            <w:tcW w:w="1347" w:type="dxa"/>
            <w:vAlign w:val="top"/>
          </w:tcPr>
          <w:p w14:paraId="03C595A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演示正确伤口清洁方式</w:t>
            </w:r>
          </w:p>
        </w:tc>
        <w:tc>
          <w:tcPr>
            <w:tcW w:w="1101" w:type="dxa"/>
            <w:vAlign w:val="top"/>
          </w:tcPr>
          <w:p w14:paraId="6158D2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rPr>
              <w:t>5.00±0.00</w:t>
            </w:r>
          </w:p>
        </w:tc>
        <w:tc>
          <w:tcPr>
            <w:tcW w:w="551" w:type="dxa"/>
            <w:vAlign w:val="top"/>
          </w:tcPr>
          <w:p w14:paraId="649D50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0.00</w:t>
            </w:r>
          </w:p>
        </w:tc>
      </w:tr>
      <w:tr w14:paraId="764B0E45">
        <w:trPr>
          <w:trHeight w:val="214" w:hRule="atLeast"/>
        </w:trPr>
        <w:tc>
          <w:tcPr>
            <w:tcW w:w="517" w:type="dxa"/>
            <w:vAlign w:val="top"/>
          </w:tcPr>
          <w:p w14:paraId="16443A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2.2.3</w:t>
            </w:r>
          </w:p>
        </w:tc>
        <w:tc>
          <w:tcPr>
            <w:tcW w:w="4790" w:type="dxa"/>
            <w:vAlign w:val="top"/>
          </w:tcPr>
          <w:p w14:paraId="0CB7D8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伤口清创：使用水凝胶敷料及时清除伤口周围的结痂及腐肉，切勿强行除痂</w:t>
            </w:r>
          </w:p>
        </w:tc>
        <w:tc>
          <w:tcPr>
            <w:tcW w:w="1347" w:type="dxa"/>
            <w:vAlign w:val="top"/>
          </w:tcPr>
          <w:p w14:paraId="2AE957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0034FDB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521C5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608F46AE">
        <w:trPr>
          <w:trHeight w:val="214" w:hRule="atLeast"/>
        </w:trPr>
        <w:tc>
          <w:tcPr>
            <w:tcW w:w="6654" w:type="dxa"/>
            <w:gridSpan w:val="3"/>
            <w:vAlign w:val="top"/>
          </w:tcPr>
          <w:p w14:paraId="6BC359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2.3水疱处理</w:t>
            </w:r>
          </w:p>
        </w:tc>
        <w:tc>
          <w:tcPr>
            <w:tcW w:w="1101" w:type="dxa"/>
            <w:vAlign w:val="top"/>
          </w:tcPr>
          <w:p w14:paraId="4CE4D18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3B2D61B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1AA19098">
        <w:trPr>
          <w:trHeight w:val="214" w:hRule="atLeast"/>
        </w:trPr>
        <w:tc>
          <w:tcPr>
            <w:tcW w:w="517" w:type="dxa"/>
            <w:vAlign w:val="top"/>
          </w:tcPr>
          <w:p w14:paraId="1264E7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2.3.1</w:t>
            </w:r>
          </w:p>
        </w:tc>
        <w:tc>
          <w:tcPr>
            <w:tcW w:w="4790" w:type="dxa"/>
            <w:vAlign w:val="top"/>
          </w:tcPr>
          <w:p w14:paraId="38DBEA9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处理原则：所有水疱均应刺破。</w:t>
            </w:r>
          </w:p>
        </w:tc>
        <w:tc>
          <w:tcPr>
            <w:tcW w:w="1347" w:type="dxa"/>
            <w:vAlign w:val="top"/>
          </w:tcPr>
          <w:p w14:paraId="747CD44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健康宣教</w:t>
            </w:r>
          </w:p>
        </w:tc>
        <w:tc>
          <w:tcPr>
            <w:tcW w:w="1101" w:type="dxa"/>
            <w:vAlign w:val="top"/>
          </w:tcPr>
          <w:p w14:paraId="19768C9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±0.63</w:t>
            </w:r>
          </w:p>
        </w:tc>
        <w:tc>
          <w:tcPr>
            <w:tcW w:w="551" w:type="dxa"/>
            <w:vAlign w:val="top"/>
          </w:tcPr>
          <w:p w14:paraId="1171AFE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55019932">
        <w:trPr>
          <w:trHeight w:val="214" w:hRule="atLeast"/>
        </w:trPr>
        <w:tc>
          <w:tcPr>
            <w:tcW w:w="517" w:type="dxa"/>
            <w:vAlign w:val="top"/>
          </w:tcPr>
          <w:p w14:paraId="10E9E2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2.3.2</w:t>
            </w:r>
          </w:p>
        </w:tc>
        <w:tc>
          <w:tcPr>
            <w:tcW w:w="4790" w:type="dxa"/>
            <w:vAlign w:val="top"/>
          </w:tcPr>
          <w:p w14:paraId="0E4A8BE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处理方式：①从水疱基底部使用无菌针头贯穿刺破水疱保留未感染的水疱表皮覆盖以保护创面，感染疱皮予以剪除；②大水疱使用无菌针头多处刺破或使用无菌剪刀剪出孔洞后纱布按压或注射器抽吸排空疱液，可略微加压包扎，及时观察是否再次产生水疱</w:t>
            </w:r>
          </w:p>
        </w:tc>
        <w:tc>
          <w:tcPr>
            <w:tcW w:w="1347" w:type="dxa"/>
            <w:vAlign w:val="top"/>
          </w:tcPr>
          <w:p w14:paraId="4EB2B51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演示水疱处理方式</w:t>
            </w:r>
          </w:p>
        </w:tc>
        <w:tc>
          <w:tcPr>
            <w:tcW w:w="1101" w:type="dxa"/>
            <w:vAlign w:val="top"/>
          </w:tcPr>
          <w:p w14:paraId="30C3B5B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C4D62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20173657">
        <w:trPr>
          <w:trHeight w:val="214" w:hRule="atLeast"/>
        </w:trPr>
        <w:tc>
          <w:tcPr>
            <w:tcW w:w="6654" w:type="dxa"/>
            <w:gridSpan w:val="3"/>
            <w:vAlign w:val="top"/>
          </w:tcPr>
          <w:p w14:paraId="20DC12A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2.4敷料选择与应用</w:t>
            </w:r>
          </w:p>
        </w:tc>
        <w:tc>
          <w:tcPr>
            <w:tcW w:w="1101" w:type="dxa"/>
            <w:vAlign w:val="top"/>
          </w:tcPr>
          <w:p w14:paraId="7ACB130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4106140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49AEE4A2">
        <w:trPr>
          <w:trHeight w:val="214" w:hRule="atLeast"/>
        </w:trPr>
        <w:tc>
          <w:tcPr>
            <w:tcW w:w="517" w:type="dxa"/>
            <w:vAlign w:val="top"/>
          </w:tcPr>
          <w:p w14:paraId="4CD7D3F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2.4.1</w:t>
            </w:r>
          </w:p>
        </w:tc>
        <w:tc>
          <w:tcPr>
            <w:tcW w:w="4790" w:type="dxa"/>
            <w:vAlign w:val="top"/>
          </w:tcPr>
          <w:p w14:paraId="700FA0E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敷料选择：选择柔软、非粘性、透气及吸收渗液能力强的敷料</w:t>
            </w:r>
          </w:p>
        </w:tc>
        <w:tc>
          <w:tcPr>
            <w:tcW w:w="1347" w:type="dxa"/>
            <w:vAlign w:val="top"/>
          </w:tcPr>
          <w:p w14:paraId="71D49C2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告知家属不同敷料的使用方法</w:t>
            </w:r>
          </w:p>
        </w:tc>
        <w:tc>
          <w:tcPr>
            <w:tcW w:w="1101" w:type="dxa"/>
            <w:vAlign w:val="top"/>
          </w:tcPr>
          <w:p w14:paraId="6C1F67C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4.19</w:t>
            </w:r>
            <w:r>
              <w:rPr>
                <w:rFonts w:hint="default" w:ascii="Times New Roman Regular" w:hAnsi="Times New Roman Regular" w:eastAsia="宋体" w:cs="Times New Roman Regular"/>
                <w:sz w:val="15"/>
                <w:szCs w:val="15"/>
              </w:rPr>
              <w:t>±0.66</w:t>
            </w:r>
          </w:p>
        </w:tc>
        <w:tc>
          <w:tcPr>
            <w:tcW w:w="551" w:type="dxa"/>
            <w:vAlign w:val="top"/>
          </w:tcPr>
          <w:p w14:paraId="612EA35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2406CCB1">
        <w:trPr>
          <w:trHeight w:val="214" w:hRule="atLeast"/>
        </w:trPr>
        <w:tc>
          <w:tcPr>
            <w:tcW w:w="517" w:type="dxa"/>
            <w:vAlign w:val="top"/>
          </w:tcPr>
          <w:p w14:paraId="193C376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2.4.2</w:t>
            </w:r>
          </w:p>
        </w:tc>
        <w:tc>
          <w:tcPr>
            <w:tcW w:w="4790" w:type="dxa"/>
            <w:vAlign w:val="top"/>
          </w:tcPr>
          <w:p w14:paraId="73E054A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敷料裁剪：①根据伤口部位提前裁剪至合适形状，其大小超出伤口边缘1-2cm；②大面积伤口使用整块敷料</w:t>
            </w:r>
          </w:p>
        </w:tc>
        <w:tc>
          <w:tcPr>
            <w:tcW w:w="1347" w:type="dxa"/>
            <w:vAlign w:val="top"/>
          </w:tcPr>
          <w:p w14:paraId="4C093EA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演示裁剪原则</w:t>
            </w:r>
          </w:p>
        </w:tc>
        <w:tc>
          <w:tcPr>
            <w:tcW w:w="1101" w:type="dxa"/>
            <w:vAlign w:val="top"/>
          </w:tcPr>
          <w:p w14:paraId="7B8E498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4.50</w:t>
            </w:r>
            <w:r>
              <w:rPr>
                <w:rFonts w:hint="default" w:ascii="Times New Roman Regular" w:hAnsi="Times New Roman Regular" w:eastAsia="宋体" w:cs="Times New Roman Regular"/>
                <w:sz w:val="15"/>
                <w:szCs w:val="15"/>
              </w:rPr>
              <w:t>±0.63</w:t>
            </w:r>
          </w:p>
        </w:tc>
        <w:tc>
          <w:tcPr>
            <w:tcW w:w="551" w:type="dxa"/>
            <w:vAlign w:val="top"/>
          </w:tcPr>
          <w:p w14:paraId="15EB654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5D5A29B6">
        <w:trPr>
          <w:trHeight w:val="214" w:hRule="atLeast"/>
        </w:trPr>
        <w:tc>
          <w:tcPr>
            <w:tcW w:w="517" w:type="dxa"/>
            <w:vAlign w:val="top"/>
          </w:tcPr>
          <w:p w14:paraId="79F5EB1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2.4.3</w:t>
            </w:r>
          </w:p>
        </w:tc>
        <w:tc>
          <w:tcPr>
            <w:tcW w:w="4790" w:type="dxa"/>
            <w:vAlign w:val="top"/>
          </w:tcPr>
          <w:p w14:paraId="3414A65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敷料应用：①确保敷料无褶皱；②若连接处或边缘摩擦，采用叠瓦片或亲水纤维敷料保护，避免敷料边缘引发新的水疱</w:t>
            </w:r>
            <w:bookmarkStart w:id="0" w:name="_GoBack"/>
            <w:bookmarkEnd w:id="0"/>
          </w:p>
        </w:tc>
        <w:tc>
          <w:tcPr>
            <w:tcW w:w="1347" w:type="dxa"/>
            <w:vAlign w:val="top"/>
          </w:tcPr>
          <w:p w14:paraId="1FA3EBB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演示应用方式</w:t>
            </w:r>
          </w:p>
        </w:tc>
        <w:tc>
          <w:tcPr>
            <w:tcW w:w="1101" w:type="dxa"/>
            <w:vAlign w:val="top"/>
          </w:tcPr>
          <w:p w14:paraId="33975934">
            <w:pPr>
              <w:spacing w:line="240" w:lineRule="exact"/>
              <w:rPr>
                <w:rFonts w:hint="default" w:ascii="Times New Roman Regular" w:hAnsi="Times New Roman Regular" w:eastAsia="宋体" w:cs="Times New Roman Regular"/>
                <w:sz w:val="15"/>
                <w:szCs w:val="15"/>
                <w:lang w:bidi="ar"/>
              </w:rPr>
            </w:pPr>
          </w:p>
        </w:tc>
        <w:tc>
          <w:tcPr>
            <w:tcW w:w="551" w:type="dxa"/>
            <w:vAlign w:val="top"/>
          </w:tcPr>
          <w:p w14:paraId="39BCC5C5">
            <w:pPr>
              <w:spacing w:line="240" w:lineRule="exact"/>
              <w:rPr>
                <w:rFonts w:hint="default" w:ascii="Times New Roman Regular" w:hAnsi="Times New Roman Regular" w:eastAsia="宋体" w:cs="Times New Roman Regular"/>
                <w:sz w:val="15"/>
                <w:szCs w:val="15"/>
                <w:lang w:bidi="ar"/>
              </w:rPr>
            </w:pPr>
          </w:p>
        </w:tc>
      </w:tr>
      <w:tr w14:paraId="7D413FC4">
        <w:trPr>
          <w:trHeight w:val="214" w:hRule="atLeast"/>
        </w:trPr>
        <w:tc>
          <w:tcPr>
            <w:tcW w:w="6654" w:type="dxa"/>
            <w:gridSpan w:val="3"/>
            <w:vAlign w:val="top"/>
          </w:tcPr>
          <w:p w14:paraId="117C21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2.5伤口包扎</w:t>
            </w:r>
          </w:p>
        </w:tc>
        <w:tc>
          <w:tcPr>
            <w:tcW w:w="1101" w:type="dxa"/>
            <w:vAlign w:val="top"/>
          </w:tcPr>
          <w:p w14:paraId="08D7B3E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5E068F7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5EC901EF">
        <w:trPr>
          <w:trHeight w:val="214" w:hRule="atLeast"/>
        </w:trPr>
        <w:tc>
          <w:tcPr>
            <w:tcW w:w="517" w:type="dxa"/>
            <w:vAlign w:val="top"/>
          </w:tcPr>
          <w:p w14:paraId="0E8F691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2.5.1</w:t>
            </w:r>
          </w:p>
        </w:tc>
        <w:tc>
          <w:tcPr>
            <w:tcW w:w="4790" w:type="dxa"/>
            <w:vAlign w:val="top"/>
          </w:tcPr>
          <w:p w14:paraId="438B2C4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包扎及固定：①包扎前使用不粘敷料覆盖伤口及水疱处，伤口周围完整皮肤涂抹油性润肤剂保护后使用弹力绷带进行固定；②颈部包扎时将薄型泡沫敷料减成“蜈蚣状”，环绕颈部；③腋下等褶皱部位敷料固定，宜采用“桥式”贴法，将敷料两端固定于胸壁或背部</w:t>
            </w:r>
          </w:p>
        </w:tc>
        <w:tc>
          <w:tcPr>
            <w:tcW w:w="1347" w:type="dxa"/>
            <w:vAlign w:val="top"/>
          </w:tcPr>
          <w:p w14:paraId="47B36BD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演示包扎方式</w:t>
            </w:r>
          </w:p>
        </w:tc>
        <w:tc>
          <w:tcPr>
            <w:tcW w:w="1101" w:type="dxa"/>
            <w:vAlign w:val="top"/>
          </w:tcPr>
          <w:p w14:paraId="2F5630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±0.68</w:t>
            </w:r>
          </w:p>
        </w:tc>
        <w:tc>
          <w:tcPr>
            <w:tcW w:w="551" w:type="dxa"/>
            <w:vAlign w:val="top"/>
          </w:tcPr>
          <w:p w14:paraId="41CC35F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54C23AD0">
        <w:trPr>
          <w:trHeight w:val="214" w:hRule="atLeast"/>
        </w:trPr>
        <w:tc>
          <w:tcPr>
            <w:tcW w:w="517" w:type="dxa"/>
            <w:vAlign w:val="top"/>
          </w:tcPr>
          <w:p w14:paraId="3506A9D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2.5.2</w:t>
            </w:r>
          </w:p>
        </w:tc>
        <w:tc>
          <w:tcPr>
            <w:tcW w:w="4790" w:type="dxa"/>
            <w:vAlign w:val="top"/>
          </w:tcPr>
          <w:p w14:paraId="348CC6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注意事项：①包扎后观察皮肤颜色和末梢循环；②检查边缘区域是否红肿、形成水疱；②固定松紧适宜，避免敷料移位；③勿直接使用胶带黏连皮肤；</w:t>
            </w:r>
          </w:p>
        </w:tc>
        <w:tc>
          <w:tcPr>
            <w:tcW w:w="1347" w:type="dxa"/>
            <w:vAlign w:val="top"/>
          </w:tcPr>
          <w:p w14:paraId="28C47F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演示如何进行包扎后的观察</w:t>
            </w:r>
          </w:p>
        </w:tc>
        <w:tc>
          <w:tcPr>
            <w:tcW w:w="1101" w:type="dxa"/>
            <w:vAlign w:val="top"/>
          </w:tcPr>
          <w:p w14:paraId="736302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0A56FB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863487A">
        <w:trPr>
          <w:trHeight w:val="214" w:hRule="atLeast"/>
        </w:trPr>
        <w:tc>
          <w:tcPr>
            <w:tcW w:w="6654" w:type="dxa"/>
            <w:gridSpan w:val="3"/>
            <w:vAlign w:val="top"/>
          </w:tcPr>
          <w:p w14:paraId="1DEF20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2.6并发症的识别及处理</w:t>
            </w:r>
          </w:p>
        </w:tc>
        <w:tc>
          <w:tcPr>
            <w:tcW w:w="1101" w:type="dxa"/>
            <w:vAlign w:val="top"/>
          </w:tcPr>
          <w:p w14:paraId="7BB61B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±0.68</w:t>
            </w:r>
          </w:p>
        </w:tc>
        <w:tc>
          <w:tcPr>
            <w:tcW w:w="551" w:type="dxa"/>
            <w:vAlign w:val="top"/>
          </w:tcPr>
          <w:p w14:paraId="6C84435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0.16</w:t>
            </w:r>
          </w:p>
        </w:tc>
      </w:tr>
      <w:tr w14:paraId="14FBD7DF">
        <w:trPr>
          <w:trHeight w:val="214" w:hRule="atLeast"/>
        </w:trPr>
        <w:tc>
          <w:tcPr>
            <w:tcW w:w="517" w:type="dxa"/>
            <w:vAlign w:val="top"/>
          </w:tcPr>
          <w:p w14:paraId="2F66B14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2.6.1</w:t>
            </w:r>
          </w:p>
        </w:tc>
        <w:tc>
          <w:tcPr>
            <w:tcW w:w="4790" w:type="dxa"/>
            <w:vAlign w:val="top"/>
          </w:tcPr>
          <w:p w14:paraId="457964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细菌定植伤口：①遵医嘱使用外⽤药物，包括使用稀释的次氯酸钠清洁伤口或外用抗菌剂（如括氯己定、苯扎氯铵、莫匹罗星、含银敷料等）②密切观察换药后3-5日的变化；③儿童使用含银敷料不宜超过2-4周</w:t>
            </w:r>
          </w:p>
        </w:tc>
        <w:tc>
          <w:tcPr>
            <w:tcW w:w="1347" w:type="dxa"/>
            <w:vAlign w:val="top"/>
          </w:tcPr>
          <w:p w14:paraId="203521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教导并提供伤口定植方法及图片，及时就医</w:t>
            </w:r>
          </w:p>
        </w:tc>
        <w:tc>
          <w:tcPr>
            <w:tcW w:w="1101" w:type="dxa"/>
            <w:vAlign w:val="top"/>
          </w:tcPr>
          <w:p w14:paraId="55974A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6C0031F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17CF8E00">
        <w:trPr>
          <w:trHeight w:val="214" w:hRule="atLeast"/>
        </w:trPr>
        <w:tc>
          <w:tcPr>
            <w:tcW w:w="517" w:type="dxa"/>
            <w:vAlign w:val="top"/>
          </w:tcPr>
          <w:p w14:paraId="7AFA089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2.6.2</w:t>
            </w:r>
          </w:p>
        </w:tc>
        <w:tc>
          <w:tcPr>
            <w:tcW w:w="4790" w:type="dxa"/>
            <w:vAlign w:val="top"/>
          </w:tcPr>
          <w:p w14:paraId="58FA39C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感染伤口：进行局部和全身抗感染治疗或住院治疗</w:t>
            </w:r>
          </w:p>
        </w:tc>
        <w:tc>
          <w:tcPr>
            <w:tcW w:w="1347" w:type="dxa"/>
            <w:vAlign w:val="top"/>
          </w:tcPr>
          <w:p w14:paraId="570E537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教导并提供伤口感染方法及图片，及时就医</w:t>
            </w:r>
          </w:p>
        </w:tc>
        <w:tc>
          <w:tcPr>
            <w:tcW w:w="1101" w:type="dxa"/>
            <w:vAlign w:val="top"/>
          </w:tcPr>
          <w:p w14:paraId="22BB392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0437B7E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6D75ABF5">
        <w:trPr>
          <w:trHeight w:val="214" w:hRule="atLeast"/>
        </w:trPr>
        <w:tc>
          <w:tcPr>
            <w:tcW w:w="517" w:type="dxa"/>
            <w:vAlign w:val="top"/>
          </w:tcPr>
          <w:p w14:paraId="2F8479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2.6.3</w:t>
            </w:r>
          </w:p>
        </w:tc>
        <w:tc>
          <w:tcPr>
            <w:tcW w:w="4790" w:type="dxa"/>
            <w:vAlign w:val="top"/>
          </w:tcPr>
          <w:p w14:paraId="223D5D3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癌变伤口：①重型EB患者，如重度、泛发性隐性遗传DEB或JEB在年龄的增长的同时，易发生鳞状细胞癌；②判断标准为超过4周不愈合的伤口、迅速长大及隆起的伤口、疼痛性质改变的伤口</w:t>
            </w:r>
          </w:p>
        </w:tc>
        <w:tc>
          <w:tcPr>
            <w:tcW w:w="1347" w:type="dxa"/>
            <w:vAlign w:val="top"/>
          </w:tcPr>
          <w:p w14:paraId="1C17D87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教导并提供伤口癌变方法及图片，及时就医</w:t>
            </w:r>
          </w:p>
        </w:tc>
        <w:tc>
          <w:tcPr>
            <w:tcW w:w="1101" w:type="dxa"/>
            <w:vAlign w:val="top"/>
          </w:tcPr>
          <w:p w14:paraId="7BE490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EBBE68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1F76F3DC">
        <w:trPr>
          <w:trHeight w:val="214" w:hRule="atLeast"/>
        </w:trPr>
        <w:tc>
          <w:tcPr>
            <w:tcW w:w="6654" w:type="dxa"/>
            <w:gridSpan w:val="3"/>
            <w:vAlign w:val="top"/>
          </w:tcPr>
          <w:p w14:paraId="53A543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3.疼痛管理</w:t>
            </w:r>
          </w:p>
        </w:tc>
        <w:tc>
          <w:tcPr>
            <w:tcW w:w="1101" w:type="dxa"/>
            <w:vAlign w:val="top"/>
          </w:tcPr>
          <w:p w14:paraId="3BB0F05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479440C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2C029C6E">
        <w:trPr>
          <w:trHeight w:val="214" w:hRule="atLeast"/>
        </w:trPr>
        <w:tc>
          <w:tcPr>
            <w:tcW w:w="6654" w:type="dxa"/>
            <w:gridSpan w:val="3"/>
            <w:vAlign w:val="top"/>
          </w:tcPr>
          <w:p w14:paraId="2E76DB7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3.1药物止痛</w:t>
            </w:r>
          </w:p>
        </w:tc>
        <w:tc>
          <w:tcPr>
            <w:tcW w:w="1101" w:type="dxa"/>
            <w:vAlign w:val="top"/>
          </w:tcPr>
          <w:p w14:paraId="31B28D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0DCA5D4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0.13</w:t>
            </w:r>
          </w:p>
        </w:tc>
      </w:tr>
      <w:tr w14:paraId="0DA84B2C">
        <w:trPr>
          <w:trHeight w:val="214" w:hRule="atLeast"/>
        </w:trPr>
        <w:tc>
          <w:tcPr>
            <w:tcW w:w="517" w:type="dxa"/>
            <w:vAlign w:val="top"/>
          </w:tcPr>
          <w:p w14:paraId="4CD7A91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3.1.1</w:t>
            </w:r>
          </w:p>
        </w:tc>
        <w:tc>
          <w:tcPr>
            <w:tcW w:w="4790" w:type="dxa"/>
            <w:vAlign w:val="top"/>
          </w:tcPr>
          <w:p w14:paraId="23B5C60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轻度疼痛：①使用对乙酰氨基酚或布洛芬，②新生儿根据体重使用24%蔗糖或20%-30%浓度的葡萄糖溶液;</w:t>
            </w:r>
          </w:p>
        </w:tc>
        <w:tc>
          <w:tcPr>
            <w:tcW w:w="1347" w:type="dxa"/>
            <w:vAlign w:val="top"/>
          </w:tcPr>
          <w:p w14:paraId="7E62D5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303CA0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±0.58</w:t>
            </w:r>
          </w:p>
        </w:tc>
        <w:tc>
          <w:tcPr>
            <w:tcW w:w="551" w:type="dxa"/>
            <w:vAlign w:val="top"/>
          </w:tcPr>
          <w:p w14:paraId="54385CA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0.12</w:t>
            </w:r>
          </w:p>
        </w:tc>
      </w:tr>
      <w:tr w14:paraId="0155E619">
        <w:trPr>
          <w:trHeight w:val="214" w:hRule="atLeast"/>
        </w:trPr>
        <w:tc>
          <w:tcPr>
            <w:tcW w:w="517" w:type="dxa"/>
            <w:vAlign w:val="top"/>
          </w:tcPr>
          <w:p w14:paraId="513727A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3.1.2</w:t>
            </w:r>
          </w:p>
        </w:tc>
        <w:tc>
          <w:tcPr>
            <w:tcW w:w="4790" w:type="dxa"/>
            <w:vAlign w:val="top"/>
          </w:tcPr>
          <w:p w14:paraId="70BFCB6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中重度疼痛：根据医嘱使用阿片类止痛药物</w:t>
            </w:r>
          </w:p>
        </w:tc>
        <w:tc>
          <w:tcPr>
            <w:tcW w:w="1347" w:type="dxa"/>
            <w:vAlign w:val="top"/>
          </w:tcPr>
          <w:p w14:paraId="5A8D0C7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6BE1F72D">
            <w:pPr>
              <w:spacing w:line="240" w:lineRule="exact"/>
              <w:rPr>
                <w:rFonts w:hint="default" w:ascii="Times New Roman Regular" w:hAnsi="Times New Roman Regular" w:eastAsia="宋体" w:cs="Times New Roman Regular"/>
                <w:sz w:val="15"/>
                <w:szCs w:val="15"/>
                <w:lang w:bidi="ar"/>
              </w:rPr>
            </w:pPr>
          </w:p>
        </w:tc>
        <w:tc>
          <w:tcPr>
            <w:tcW w:w="551" w:type="dxa"/>
            <w:vAlign w:val="top"/>
          </w:tcPr>
          <w:p w14:paraId="2350264A">
            <w:pPr>
              <w:spacing w:line="240" w:lineRule="exact"/>
              <w:rPr>
                <w:rFonts w:hint="default" w:ascii="Times New Roman Regular" w:hAnsi="Times New Roman Regular" w:eastAsia="宋体" w:cs="Times New Roman Regular"/>
                <w:sz w:val="15"/>
                <w:szCs w:val="15"/>
                <w:lang w:bidi="ar"/>
              </w:rPr>
            </w:pPr>
          </w:p>
        </w:tc>
      </w:tr>
      <w:tr w14:paraId="22EB7245">
        <w:trPr>
          <w:trHeight w:val="214" w:hRule="atLeast"/>
        </w:trPr>
        <w:tc>
          <w:tcPr>
            <w:tcW w:w="6654" w:type="dxa"/>
            <w:gridSpan w:val="3"/>
            <w:vAlign w:val="top"/>
          </w:tcPr>
          <w:p w14:paraId="57A0517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3.2非药物止痛</w:t>
            </w:r>
          </w:p>
        </w:tc>
        <w:tc>
          <w:tcPr>
            <w:tcW w:w="1101" w:type="dxa"/>
            <w:vAlign w:val="top"/>
          </w:tcPr>
          <w:p w14:paraId="6B2897C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4AF3A7E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6177C3F">
        <w:trPr>
          <w:trHeight w:val="214" w:hRule="atLeast"/>
        </w:trPr>
        <w:tc>
          <w:tcPr>
            <w:tcW w:w="517" w:type="dxa"/>
            <w:vAlign w:val="top"/>
          </w:tcPr>
          <w:p w14:paraId="66A4226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3.2.1</w:t>
            </w:r>
          </w:p>
        </w:tc>
        <w:tc>
          <w:tcPr>
            <w:tcW w:w="4790" w:type="dxa"/>
            <w:vAlign w:val="top"/>
          </w:tcPr>
          <w:p w14:paraId="60A1A111">
            <w:pPr>
              <w:spacing w:line="240" w:lineRule="exact"/>
            </w:pPr>
            <w:r>
              <w:rPr>
                <w:rFonts w:hint="default" w:ascii="Times New Roman Regular" w:hAnsi="Times New Roman Regular" w:eastAsia="宋体" w:cs="Times New Roman Regular"/>
                <w:sz w:val="15"/>
                <w:szCs w:val="15"/>
                <w:lang w:bidi="ar"/>
              </w:rPr>
              <w:t>无痛祛除敷料：①采用生理盐水浸润或涂抹油剂产品（如凡士林、液体石蜡等）软化敷料后祛除敷料；②对于敷料粘连或胶带黏附于皮肤的情况，使用医用黏胶去除剂（SMAR）辅助剥离</w:t>
            </w:r>
          </w:p>
        </w:tc>
        <w:tc>
          <w:tcPr>
            <w:tcW w:w="1347" w:type="dxa"/>
            <w:vAlign w:val="top"/>
          </w:tcPr>
          <w:p w14:paraId="08C2EC4F">
            <w:pPr>
              <w:spacing w:line="240" w:lineRule="exact"/>
            </w:pPr>
            <w:r>
              <w:rPr>
                <w:rFonts w:hint="default" w:ascii="Times New Roman Regular" w:hAnsi="Times New Roman Regular" w:eastAsia="宋体" w:cs="Times New Roman Regular"/>
                <w:sz w:val="15"/>
                <w:szCs w:val="15"/>
                <w:lang w:bidi="ar"/>
              </w:rPr>
              <w:t>示范无痛祛除敷料的方式</w:t>
            </w:r>
          </w:p>
        </w:tc>
        <w:tc>
          <w:tcPr>
            <w:tcW w:w="1101" w:type="dxa"/>
            <w:vAlign w:val="top"/>
          </w:tcPr>
          <w:p w14:paraId="1B05508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16F0B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70C269BA">
        <w:trPr>
          <w:trHeight w:val="214" w:hRule="atLeast"/>
        </w:trPr>
        <w:tc>
          <w:tcPr>
            <w:tcW w:w="517" w:type="dxa"/>
            <w:vAlign w:val="top"/>
          </w:tcPr>
          <w:p w14:paraId="157E93B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3.2.2</w:t>
            </w:r>
          </w:p>
        </w:tc>
        <w:tc>
          <w:tcPr>
            <w:tcW w:w="4790" w:type="dxa"/>
            <w:vAlign w:val="top"/>
          </w:tcPr>
          <w:p w14:paraId="66AFD98D">
            <w:pPr>
              <w:spacing w:line="240" w:lineRule="exact"/>
            </w:pPr>
            <w:r>
              <w:rPr>
                <w:rFonts w:hint="default" w:ascii="Times New Roman Regular" w:hAnsi="Times New Roman Regular" w:eastAsia="宋体" w:cs="Times New Roman Regular"/>
                <w:sz w:val="15"/>
                <w:szCs w:val="15"/>
                <w:lang w:bidi="ar"/>
              </w:rPr>
              <w:t>安抚干预：①保持安静环境，可辅以放轻音乐、讲故事帮助放松；②建立“换药后奖励”，增强患儿配合意愿</w:t>
            </w:r>
          </w:p>
        </w:tc>
        <w:tc>
          <w:tcPr>
            <w:tcW w:w="1347" w:type="dxa"/>
            <w:vAlign w:val="top"/>
          </w:tcPr>
          <w:p w14:paraId="36748B23">
            <w:pPr>
              <w:spacing w:line="240" w:lineRule="exact"/>
            </w:pPr>
            <w:r>
              <w:rPr>
                <w:rFonts w:hint="default" w:ascii="Times New Roman Regular" w:hAnsi="Times New Roman Regular" w:eastAsia="宋体" w:cs="Times New Roman Regular"/>
                <w:sz w:val="15"/>
                <w:szCs w:val="15"/>
                <w:lang w:bidi="ar"/>
              </w:rPr>
              <w:t>健康教育</w:t>
            </w:r>
          </w:p>
        </w:tc>
        <w:tc>
          <w:tcPr>
            <w:tcW w:w="1101" w:type="dxa"/>
            <w:vAlign w:val="top"/>
          </w:tcPr>
          <w:p w14:paraId="6A6C3A0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vAlign w:val="top"/>
          </w:tcPr>
          <w:p w14:paraId="0F7C9D7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3E021914">
        <w:trPr>
          <w:trHeight w:val="214" w:hRule="atLeast"/>
        </w:trPr>
        <w:tc>
          <w:tcPr>
            <w:tcW w:w="6654" w:type="dxa"/>
            <w:gridSpan w:val="3"/>
            <w:vAlign w:val="top"/>
          </w:tcPr>
          <w:p w14:paraId="10A344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4.特殊部位的管理</w:t>
            </w:r>
          </w:p>
        </w:tc>
        <w:tc>
          <w:tcPr>
            <w:tcW w:w="1101" w:type="dxa"/>
            <w:vAlign w:val="top"/>
          </w:tcPr>
          <w:p w14:paraId="0D52D0E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4.44</w:t>
            </w:r>
            <w:r>
              <w:rPr>
                <w:rFonts w:hint="default" w:ascii="Times New Roman Regular" w:hAnsi="Times New Roman Regular" w:eastAsia="宋体" w:cs="Times New Roman Regular"/>
                <w:sz w:val="15"/>
                <w:szCs w:val="15"/>
              </w:rPr>
              <w:t>±0.63</w:t>
            </w:r>
          </w:p>
        </w:tc>
        <w:tc>
          <w:tcPr>
            <w:tcW w:w="551" w:type="dxa"/>
            <w:vAlign w:val="top"/>
          </w:tcPr>
          <w:p w14:paraId="0762179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194A49C7">
        <w:trPr>
          <w:trHeight w:val="214" w:hRule="atLeast"/>
        </w:trPr>
        <w:tc>
          <w:tcPr>
            <w:tcW w:w="6654" w:type="dxa"/>
            <w:gridSpan w:val="3"/>
            <w:vAlign w:val="top"/>
          </w:tcPr>
          <w:p w14:paraId="7B61AF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4.1眼部护理</w:t>
            </w:r>
          </w:p>
        </w:tc>
        <w:tc>
          <w:tcPr>
            <w:tcW w:w="1101" w:type="dxa"/>
            <w:vAlign w:val="top"/>
          </w:tcPr>
          <w:p w14:paraId="5DBB950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2294808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17D029EC">
        <w:trPr>
          <w:trHeight w:val="214" w:hRule="atLeast"/>
        </w:trPr>
        <w:tc>
          <w:tcPr>
            <w:tcW w:w="517" w:type="dxa"/>
            <w:vAlign w:val="top"/>
          </w:tcPr>
          <w:p w14:paraId="45E376F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4.1.1</w:t>
            </w:r>
          </w:p>
        </w:tc>
        <w:tc>
          <w:tcPr>
            <w:tcW w:w="4790" w:type="dxa"/>
            <w:vAlign w:val="top"/>
          </w:tcPr>
          <w:p w14:paraId="03DD104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眼部刺激症状：使用不含防腐剂的人工泪液、眼膏或绷带型角膜接触镜（绷带镜），以减轻摩擦所致的角膜损伤</w:t>
            </w:r>
          </w:p>
        </w:tc>
        <w:tc>
          <w:tcPr>
            <w:tcW w:w="1347" w:type="dxa"/>
            <w:vAlign w:val="top"/>
          </w:tcPr>
          <w:p w14:paraId="6E6245B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6845A78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039407F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361452FC">
        <w:trPr>
          <w:trHeight w:val="214" w:hRule="atLeast"/>
        </w:trPr>
        <w:tc>
          <w:tcPr>
            <w:tcW w:w="517" w:type="dxa"/>
            <w:vAlign w:val="top"/>
          </w:tcPr>
          <w:p w14:paraId="3B5964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4.1.2</w:t>
            </w:r>
          </w:p>
        </w:tc>
        <w:tc>
          <w:tcPr>
            <w:tcW w:w="4790" w:type="dxa"/>
            <w:vAlign w:val="top"/>
          </w:tcPr>
          <w:p w14:paraId="110FC92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眼睑外翻：遵医嘱使用抗生素眼膏或者无菌凡士林油砂保护眼睑</w:t>
            </w:r>
          </w:p>
        </w:tc>
        <w:tc>
          <w:tcPr>
            <w:tcW w:w="1347" w:type="dxa"/>
            <w:vAlign w:val="top"/>
          </w:tcPr>
          <w:p w14:paraId="076CD99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231D9E7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±0.70</w:t>
            </w:r>
          </w:p>
        </w:tc>
        <w:tc>
          <w:tcPr>
            <w:tcW w:w="551" w:type="dxa"/>
            <w:vAlign w:val="top"/>
          </w:tcPr>
          <w:p w14:paraId="253F13D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0A2761B5">
        <w:trPr>
          <w:trHeight w:val="214" w:hRule="atLeast"/>
        </w:trPr>
        <w:tc>
          <w:tcPr>
            <w:tcW w:w="6654" w:type="dxa"/>
            <w:gridSpan w:val="3"/>
            <w:vAlign w:val="top"/>
          </w:tcPr>
          <w:p w14:paraId="30C0D7D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4.2口腔护理</w:t>
            </w:r>
          </w:p>
        </w:tc>
        <w:tc>
          <w:tcPr>
            <w:tcW w:w="1101" w:type="dxa"/>
            <w:vAlign w:val="top"/>
          </w:tcPr>
          <w:p w14:paraId="7AD637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6C00A0E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26AA8AE9">
        <w:trPr>
          <w:trHeight w:val="214" w:hRule="atLeast"/>
        </w:trPr>
        <w:tc>
          <w:tcPr>
            <w:tcW w:w="517" w:type="dxa"/>
            <w:vAlign w:val="top"/>
          </w:tcPr>
          <w:p w14:paraId="3439F8E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4.2.1</w:t>
            </w:r>
          </w:p>
        </w:tc>
        <w:tc>
          <w:tcPr>
            <w:tcW w:w="4790" w:type="dxa"/>
            <w:vAlign w:val="top"/>
          </w:tcPr>
          <w:p w14:paraId="004735A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口腔清洁与保护：①使用软毛牙刷及含氟牙膏清洁口腔；②中重度EB患者限制使用吸管</w:t>
            </w:r>
          </w:p>
        </w:tc>
        <w:tc>
          <w:tcPr>
            <w:tcW w:w="1347" w:type="dxa"/>
            <w:vAlign w:val="top"/>
          </w:tcPr>
          <w:p w14:paraId="077C2F46">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4520167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62061F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AB5CE35">
        <w:trPr>
          <w:trHeight w:val="214" w:hRule="atLeast"/>
        </w:trPr>
        <w:tc>
          <w:tcPr>
            <w:tcW w:w="517" w:type="dxa"/>
            <w:vAlign w:val="top"/>
          </w:tcPr>
          <w:p w14:paraId="78D4203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4.2.2</w:t>
            </w:r>
          </w:p>
        </w:tc>
        <w:tc>
          <w:tcPr>
            <w:tcW w:w="4790" w:type="dxa"/>
            <w:vAlign w:val="top"/>
          </w:tcPr>
          <w:p w14:paraId="7DED6DF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经口喂养方式：①使用长而软的奶嘴或使用腭裂儿童专用喂奶器进行喂奶；②使用前将奶嘴放入温水中软化，母乳喂养时在乳头及婴儿的脸颊上涂抹润肤霜；③口腔周围有水疱或伤口时限制使用润肤霜</w:t>
            </w:r>
          </w:p>
        </w:tc>
        <w:tc>
          <w:tcPr>
            <w:tcW w:w="1347" w:type="dxa"/>
            <w:vAlign w:val="top"/>
          </w:tcPr>
          <w:p w14:paraId="43B7013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指导喂养技巧</w:t>
            </w:r>
          </w:p>
        </w:tc>
        <w:tc>
          <w:tcPr>
            <w:tcW w:w="1101" w:type="dxa"/>
            <w:vAlign w:val="top"/>
          </w:tcPr>
          <w:p w14:paraId="640945F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7CDC9A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6D894CCD">
        <w:trPr>
          <w:trHeight w:val="214" w:hRule="atLeast"/>
        </w:trPr>
        <w:tc>
          <w:tcPr>
            <w:tcW w:w="6654" w:type="dxa"/>
            <w:gridSpan w:val="3"/>
            <w:vAlign w:val="top"/>
          </w:tcPr>
          <w:p w14:paraId="041ABC1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4.3肛周护理</w:t>
            </w:r>
          </w:p>
        </w:tc>
        <w:tc>
          <w:tcPr>
            <w:tcW w:w="1101" w:type="dxa"/>
            <w:vAlign w:val="top"/>
          </w:tcPr>
          <w:p w14:paraId="22358C3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65234F3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633F16E">
        <w:trPr>
          <w:trHeight w:val="214" w:hRule="atLeast"/>
        </w:trPr>
        <w:tc>
          <w:tcPr>
            <w:tcW w:w="517" w:type="dxa"/>
            <w:vAlign w:val="top"/>
          </w:tcPr>
          <w:p w14:paraId="351E90C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4.3.2</w:t>
            </w:r>
          </w:p>
        </w:tc>
        <w:tc>
          <w:tcPr>
            <w:tcW w:w="4790" w:type="dxa"/>
            <w:vAlign w:val="top"/>
          </w:tcPr>
          <w:p w14:paraId="71C39B5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肛周皮肤保护：①每次便后清洁；②肛周涂抹液体石蜡等润滑剂，以隔离排泄物刺激</w:t>
            </w:r>
          </w:p>
        </w:tc>
        <w:tc>
          <w:tcPr>
            <w:tcW w:w="1347" w:type="dxa"/>
            <w:vAlign w:val="top"/>
          </w:tcPr>
          <w:p w14:paraId="2FAD9D1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健康教育</w:t>
            </w:r>
          </w:p>
        </w:tc>
        <w:tc>
          <w:tcPr>
            <w:tcW w:w="1101" w:type="dxa"/>
            <w:vAlign w:val="top"/>
          </w:tcPr>
          <w:p w14:paraId="1638220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7499FC5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1A11530F">
        <w:trPr>
          <w:trHeight w:val="214" w:hRule="atLeast"/>
        </w:trPr>
        <w:tc>
          <w:tcPr>
            <w:tcW w:w="517" w:type="dxa"/>
            <w:vAlign w:val="top"/>
          </w:tcPr>
          <w:p w14:paraId="6E652D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4.3.1</w:t>
            </w:r>
          </w:p>
        </w:tc>
        <w:tc>
          <w:tcPr>
            <w:tcW w:w="4790" w:type="dxa"/>
            <w:vAlign w:val="top"/>
          </w:tcPr>
          <w:p w14:paraId="122077F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肛周皮肤糜烂：涂抹凡士林与液体石蜡的等比例混合物、凡士林或使用非粘连性敷料</w:t>
            </w:r>
          </w:p>
        </w:tc>
        <w:tc>
          <w:tcPr>
            <w:tcW w:w="1347" w:type="dxa"/>
            <w:vAlign w:val="top"/>
          </w:tcPr>
          <w:p w14:paraId="1BACBD6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识别皮肤糜烂并正确处理必要时就医</w:t>
            </w:r>
          </w:p>
        </w:tc>
        <w:tc>
          <w:tcPr>
            <w:tcW w:w="1101" w:type="dxa"/>
            <w:vAlign w:val="top"/>
          </w:tcPr>
          <w:p w14:paraId="22ED00B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282B33B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15501FB2">
        <w:trPr>
          <w:trHeight w:val="214" w:hRule="atLeast"/>
        </w:trPr>
        <w:tc>
          <w:tcPr>
            <w:tcW w:w="517" w:type="dxa"/>
            <w:vAlign w:val="top"/>
          </w:tcPr>
          <w:p w14:paraId="38E9CB4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4.3.3</w:t>
            </w:r>
          </w:p>
        </w:tc>
        <w:tc>
          <w:tcPr>
            <w:tcW w:w="4790" w:type="dxa"/>
            <w:vAlign w:val="top"/>
          </w:tcPr>
          <w:p w14:paraId="2B89816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肉芽组织增生：①JEB患者尿布区域易发生；②遵医嘱使用局部皮质类固醇软膏进行控制</w:t>
            </w:r>
          </w:p>
        </w:tc>
        <w:tc>
          <w:tcPr>
            <w:tcW w:w="1347" w:type="dxa"/>
            <w:vAlign w:val="top"/>
          </w:tcPr>
          <w:p w14:paraId="01517CD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识别肉芽组织增生并及时就医</w:t>
            </w:r>
          </w:p>
        </w:tc>
        <w:tc>
          <w:tcPr>
            <w:tcW w:w="1101" w:type="dxa"/>
            <w:vAlign w:val="top"/>
          </w:tcPr>
          <w:p w14:paraId="5A0307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58AC79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17447754">
        <w:trPr>
          <w:trHeight w:val="214" w:hRule="atLeast"/>
        </w:trPr>
        <w:tc>
          <w:tcPr>
            <w:tcW w:w="6654" w:type="dxa"/>
            <w:gridSpan w:val="3"/>
            <w:vAlign w:val="top"/>
          </w:tcPr>
          <w:p w14:paraId="403597D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5营养支持</w:t>
            </w:r>
          </w:p>
        </w:tc>
        <w:tc>
          <w:tcPr>
            <w:tcW w:w="1101" w:type="dxa"/>
            <w:vAlign w:val="top"/>
          </w:tcPr>
          <w:p w14:paraId="18F6981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±0.70</w:t>
            </w:r>
          </w:p>
        </w:tc>
        <w:tc>
          <w:tcPr>
            <w:tcW w:w="551" w:type="dxa"/>
            <w:vAlign w:val="top"/>
          </w:tcPr>
          <w:p w14:paraId="37B197B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177DAB1D">
        <w:trPr>
          <w:trHeight w:val="214" w:hRule="atLeast"/>
        </w:trPr>
        <w:tc>
          <w:tcPr>
            <w:tcW w:w="6654" w:type="dxa"/>
            <w:gridSpan w:val="3"/>
            <w:vAlign w:val="top"/>
          </w:tcPr>
          <w:p w14:paraId="4888DA3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5.1饮食管理</w:t>
            </w:r>
          </w:p>
        </w:tc>
        <w:tc>
          <w:tcPr>
            <w:tcW w:w="1101" w:type="dxa"/>
            <w:vAlign w:val="top"/>
          </w:tcPr>
          <w:p w14:paraId="5051356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4.25</w:t>
            </w:r>
            <w:r>
              <w:rPr>
                <w:rFonts w:hint="default" w:ascii="Times New Roman Regular" w:hAnsi="Times New Roman Regular" w:eastAsia="宋体" w:cs="Times New Roman Regular"/>
                <w:sz w:val="15"/>
                <w:szCs w:val="15"/>
              </w:rPr>
              <w:t>±0.77</w:t>
            </w:r>
          </w:p>
        </w:tc>
        <w:tc>
          <w:tcPr>
            <w:tcW w:w="551" w:type="dxa"/>
            <w:vAlign w:val="top"/>
          </w:tcPr>
          <w:p w14:paraId="7F8C76C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0.18</w:t>
            </w:r>
          </w:p>
        </w:tc>
      </w:tr>
      <w:tr w14:paraId="65227CE3">
        <w:trPr>
          <w:trHeight w:val="214" w:hRule="atLeast"/>
        </w:trPr>
        <w:tc>
          <w:tcPr>
            <w:tcW w:w="517" w:type="dxa"/>
            <w:vAlign w:val="top"/>
          </w:tcPr>
          <w:p w14:paraId="2185B16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5.1.1</w:t>
            </w:r>
          </w:p>
        </w:tc>
        <w:tc>
          <w:tcPr>
            <w:tcW w:w="4790" w:type="dxa"/>
            <w:vAlign w:val="top"/>
          </w:tcPr>
          <w:p w14:paraId="3C592F7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营养及吞咽评估：①每月评估患者营养状况，包括铁、锌、硒、维生素D及钙；②营养高风险人群如RDEB及JEB，每月评估患者吞咽功能；③观察患者在吞咽时是否发生障碍，可表现为吐口水、进食呛咳</w:t>
            </w:r>
          </w:p>
        </w:tc>
        <w:tc>
          <w:tcPr>
            <w:tcW w:w="1347" w:type="dxa"/>
            <w:vAlign w:val="top"/>
          </w:tcPr>
          <w:p w14:paraId="40C2F05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掌握居家吞咽功能评估方式，微信或电话随访营养指标</w:t>
            </w:r>
          </w:p>
        </w:tc>
        <w:tc>
          <w:tcPr>
            <w:tcW w:w="1101" w:type="dxa"/>
            <w:vAlign w:val="top"/>
          </w:tcPr>
          <w:p w14:paraId="1BAC9B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4.31</w:t>
            </w:r>
            <w:r>
              <w:rPr>
                <w:rFonts w:hint="default" w:ascii="Times New Roman Regular" w:hAnsi="Times New Roman Regular" w:eastAsia="宋体" w:cs="Times New Roman Regular"/>
                <w:sz w:val="15"/>
                <w:szCs w:val="15"/>
              </w:rPr>
              <w:t>±0.60</w:t>
            </w:r>
          </w:p>
        </w:tc>
        <w:tc>
          <w:tcPr>
            <w:tcW w:w="551" w:type="dxa"/>
            <w:vAlign w:val="top"/>
          </w:tcPr>
          <w:p w14:paraId="6625796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0.14</w:t>
            </w:r>
          </w:p>
        </w:tc>
      </w:tr>
      <w:tr w14:paraId="32F20191">
        <w:trPr>
          <w:trHeight w:val="214" w:hRule="atLeast"/>
        </w:trPr>
        <w:tc>
          <w:tcPr>
            <w:tcW w:w="517" w:type="dxa"/>
            <w:vAlign w:val="top"/>
          </w:tcPr>
          <w:p w14:paraId="24E38D1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5.1.2</w:t>
            </w:r>
          </w:p>
        </w:tc>
        <w:tc>
          <w:tcPr>
            <w:tcW w:w="4790" w:type="dxa"/>
            <w:vAlign w:val="top"/>
          </w:tcPr>
          <w:p w14:paraId="1A57150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饮食选择原则：①选择高蛋白、高能量、富含维生素及微量元素的饮食，避免辛辣、粗糙等刺激性食物；②婴幼儿，选择母乳或营养强化配方奶喂养</w:t>
            </w:r>
          </w:p>
        </w:tc>
        <w:tc>
          <w:tcPr>
            <w:tcW w:w="1347" w:type="dxa"/>
            <w:vAlign w:val="top"/>
          </w:tcPr>
          <w:p w14:paraId="21D287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根据年龄进行个体化饮食教育</w:t>
            </w:r>
          </w:p>
        </w:tc>
        <w:tc>
          <w:tcPr>
            <w:tcW w:w="1101" w:type="dxa"/>
            <w:vAlign w:val="top"/>
          </w:tcPr>
          <w:p w14:paraId="14AAC49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±0.40</w:t>
            </w:r>
          </w:p>
        </w:tc>
        <w:tc>
          <w:tcPr>
            <w:tcW w:w="551" w:type="dxa"/>
            <w:vAlign w:val="top"/>
          </w:tcPr>
          <w:p w14:paraId="7991BEF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052F1B6D">
        <w:trPr>
          <w:trHeight w:val="214" w:hRule="atLeast"/>
        </w:trPr>
        <w:tc>
          <w:tcPr>
            <w:tcW w:w="517" w:type="dxa"/>
            <w:vAlign w:val="top"/>
          </w:tcPr>
          <w:p w14:paraId="1A9FDE0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5.1.3</w:t>
            </w:r>
          </w:p>
        </w:tc>
        <w:tc>
          <w:tcPr>
            <w:tcW w:w="4790" w:type="dxa"/>
            <w:vAlign w:val="top"/>
          </w:tcPr>
          <w:p w14:paraId="41DAC64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吞咽困难：①可吞咽者，选择软烂、糊状、流质食物、添加肠内营养粉；②严重吞咽困难者，转介至专科医生处评估行食管扩张术</w:t>
            </w:r>
          </w:p>
        </w:tc>
        <w:tc>
          <w:tcPr>
            <w:tcW w:w="1347" w:type="dxa"/>
            <w:vAlign w:val="top"/>
          </w:tcPr>
          <w:p w14:paraId="2808A95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指导早期识别及个性化食物质地调整</w:t>
            </w:r>
          </w:p>
        </w:tc>
        <w:tc>
          <w:tcPr>
            <w:tcW w:w="1101" w:type="dxa"/>
            <w:vAlign w:val="top"/>
          </w:tcPr>
          <w:p w14:paraId="575877A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4.69</w:t>
            </w:r>
            <w:r>
              <w:rPr>
                <w:rFonts w:hint="default" w:ascii="Times New Roman Regular" w:hAnsi="Times New Roman Regular" w:eastAsia="宋体" w:cs="Times New Roman Regular"/>
                <w:sz w:val="15"/>
                <w:szCs w:val="15"/>
              </w:rPr>
              <w:t>±0.48</w:t>
            </w:r>
          </w:p>
        </w:tc>
        <w:tc>
          <w:tcPr>
            <w:tcW w:w="551" w:type="dxa"/>
            <w:vAlign w:val="top"/>
          </w:tcPr>
          <w:p w14:paraId="3192F2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5E5EDD55">
        <w:trPr>
          <w:trHeight w:val="214" w:hRule="atLeast"/>
        </w:trPr>
        <w:tc>
          <w:tcPr>
            <w:tcW w:w="517" w:type="dxa"/>
            <w:vAlign w:val="top"/>
          </w:tcPr>
          <w:p w14:paraId="53C36F0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5.1.4</w:t>
            </w:r>
          </w:p>
        </w:tc>
        <w:tc>
          <w:tcPr>
            <w:tcW w:w="4790" w:type="dxa"/>
            <w:vAlign w:val="top"/>
          </w:tcPr>
          <w:p w14:paraId="676AA09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生长迟滞：①经医生评估后，更换为特殊医学配方食品；②必要时，遵医嘱实施不超过6-8周的鼻胃管短期辅助喂养；③辅助喂养者，维持口腔吸吮及吞咽练习</w:t>
            </w:r>
          </w:p>
        </w:tc>
        <w:tc>
          <w:tcPr>
            <w:tcW w:w="1347" w:type="dxa"/>
            <w:vAlign w:val="top"/>
          </w:tcPr>
          <w:p w14:paraId="69BD75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指导照顾者早期识别及时就医</w:t>
            </w:r>
          </w:p>
        </w:tc>
        <w:tc>
          <w:tcPr>
            <w:tcW w:w="1101" w:type="dxa"/>
            <w:vAlign w:val="top"/>
          </w:tcPr>
          <w:p w14:paraId="78492EA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4.75</w:t>
            </w:r>
            <w:r>
              <w:rPr>
                <w:rFonts w:hint="default" w:ascii="Times New Roman Regular" w:hAnsi="Times New Roman Regular" w:eastAsia="宋体" w:cs="Times New Roman Regular"/>
                <w:sz w:val="15"/>
                <w:szCs w:val="15"/>
              </w:rPr>
              <w:t>±0.45</w:t>
            </w:r>
          </w:p>
        </w:tc>
        <w:tc>
          <w:tcPr>
            <w:tcW w:w="551" w:type="dxa"/>
            <w:vAlign w:val="top"/>
          </w:tcPr>
          <w:p w14:paraId="54619FB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0.09</w:t>
            </w:r>
          </w:p>
        </w:tc>
      </w:tr>
      <w:tr w14:paraId="5C46EEFD">
        <w:trPr>
          <w:trHeight w:val="214" w:hRule="atLeast"/>
        </w:trPr>
        <w:tc>
          <w:tcPr>
            <w:tcW w:w="6654" w:type="dxa"/>
            <w:gridSpan w:val="3"/>
            <w:vAlign w:val="top"/>
          </w:tcPr>
          <w:p w14:paraId="2C727CF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6心理与社会支持</w:t>
            </w:r>
          </w:p>
        </w:tc>
        <w:tc>
          <w:tcPr>
            <w:tcW w:w="1101" w:type="dxa"/>
            <w:vAlign w:val="top"/>
          </w:tcPr>
          <w:p w14:paraId="034EECE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3187146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12A2F403">
        <w:trPr>
          <w:trHeight w:val="214" w:hRule="atLeast"/>
        </w:trPr>
        <w:tc>
          <w:tcPr>
            <w:tcW w:w="6654" w:type="dxa"/>
            <w:gridSpan w:val="3"/>
            <w:vAlign w:val="top"/>
          </w:tcPr>
          <w:p w14:paraId="0AD4C93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6.1心理支持</w:t>
            </w:r>
          </w:p>
        </w:tc>
        <w:tc>
          <w:tcPr>
            <w:tcW w:w="1101" w:type="dxa"/>
            <w:vAlign w:val="top"/>
          </w:tcPr>
          <w:p w14:paraId="3D96B96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327685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75088370">
        <w:trPr>
          <w:trHeight w:val="214" w:hRule="atLeast"/>
        </w:trPr>
        <w:tc>
          <w:tcPr>
            <w:tcW w:w="517" w:type="dxa"/>
            <w:vAlign w:val="top"/>
          </w:tcPr>
          <w:p w14:paraId="74AB6FF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6.1.1</w:t>
            </w:r>
          </w:p>
        </w:tc>
        <w:tc>
          <w:tcPr>
            <w:tcW w:w="4790" w:type="dxa"/>
            <w:vAlign w:val="top"/>
          </w:tcPr>
          <w:p w14:paraId="6DEEFDA9">
            <w:pPr>
              <w:spacing w:line="240" w:lineRule="exact"/>
            </w:pPr>
            <w:r>
              <w:rPr>
                <w:rFonts w:hint="default" w:ascii="Times New Roman Regular" w:hAnsi="Times New Roman Regular" w:eastAsia="宋体" w:cs="Times New Roman Regular"/>
                <w:sz w:val="15"/>
                <w:szCs w:val="15"/>
                <w:lang w:bidi="ar"/>
              </w:rPr>
              <w:t>心理干预：①鼓励患者表达对疼痛、换药和社交的感受；②使用放松训练、音乐、香氛疗法；③存在情绪障碍者，及时转介至心理专科</w:t>
            </w:r>
          </w:p>
        </w:tc>
        <w:tc>
          <w:tcPr>
            <w:tcW w:w="1347" w:type="dxa"/>
            <w:vAlign w:val="top"/>
          </w:tcPr>
          <w:p w14:paraId="05D21B0B">
            <w:pPr>
              <w:spacing w:line="240" w:lineRule="exact"/>
            </w:pPr>
            <w:r>
              <w:rPr>
                <w:rFonts w:hint="default" w:ascii="Times New Roman Regular" w:hAnsi="Times New Roman Regular" w:eastAsia="宋体" w:cs="Times New Roman Regular"/>
                <w:sz w:val="15"/>
                <w:szCs w:val="15"/>
                <w:lang w:bidi="ar"/>
              </w:rPr>
              <w:t>指导使用针对性放松方式，</w:t>
            </w:r>
          </w:p>
        </w:tc>
        <w:tc>
          <w:tcPr>
            <w:tcW w:w="1101" w:type="dxa"/>
            <w:vAlign w:val="top"/>
          </w:tcPr>
          <w:p w14:paraId="4BC3AE0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2EDA2A2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162F25A6">
        <w:trPr>
          <w:trHeight w:val="214" w:hRule="atLeast"/>
        </w:trPr>
        <w:tc>
          <w:tcPr>
            <w:tcW w:w="6654" w:type="dxa"/>
            <w:gridSpan w:val="3"/>
            <w:vAlign w:val="top"/>
          </w:tcPr>
          <w:p w14:paraId="4C01F89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6.2社会支持</w:t>
            </w:r>
          </w:p>
        </w:tc>
        <w:tc>
          <w:tcPr>
            <w:tcW w:w="1101" w:type="dxa"/>
            <w:vAlign w:val="top"/>
          </w:tcPr>
          <w:p w14:paraId="65A8F1F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±0.50</w:t>
            </w:r>
          </w:p>
        </w:tc>
        <w:tc>
          <w:tcPr>
            <w:tcW w:w="551" w:type="dxa"/>
            <w:vAlign w:val="top"/>
          </w:tcPr>
          <w:p w14:paraId="22D7CA3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0.10</w:t>
            </w:r>
          </w:p>
        </w:tc>
      </w:tr>
      <w:tr w14:paraId="3BB1790A">
        <w:trPr>
          <w:trHeight w:val="214" w:hRule="atLeast"/>
        </w:trPr>
        <w:tc>
          <w:tcPr>
            <w:tcW w:w="517" w:type="dxa"/>
            <w:vAlign w:val="top"/>
          </w:tcPr>
          <w:p w14:paraId="53F3CF1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6.2.1</w:t>
            </w:r>
          </w:p>
        </w:tc>
        <w:tc>
          <w:tcPr>
            <w:tcW w:w="4790" w:type="dxa"/>
            <w:vAlign w:val="top"/>
          </w:tcPr>
          <w:p w14:paraId="28872D1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社会融合：①评估患者及家庭的社会支持需求；②协助其链接病友互助组织、患者支持协会及其他社会资源</w:t>
            </w:r>
          </w:p>
        </w:tc>
        <w:tc>
          <w:tcPr>
            <w:tcW w:w="1347" w:type="dxa"/>
            <w:vAlign w:val="top"/>
          </w:tcPr>
          <w:p w14:paraId="44A515D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指导进行组织链接</w:t>
            </w:r>
          </w:p>
        </w:tc>
        <w:tc>
          <w:tcPr>
            <w:tcW w:w="1101" w:type="dxa"/>
            <w:vAlign w:val="top"/>
          </w:tcPr>
          <w:p w14:paraId="022E8DF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3A9863C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599D7959">
        <w:trPr>
          <w:trHeight w:val="214" w:hRule="atLeast"/>
        </w:trPr>
        <w:tc>
          <w:tcPr>
            <w:tcW w:w="6654" w:type="dxa"/>
            <w:gridSpan w:val="3"/>
            <w:vAlign w:val="top"/>
          </w:tcPr>
          <w:p w14:paraId="1DB95D2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7.定期随访</w:t>
            </w:r>
          </w:p>
        </w:tc>
        <w:tc>
          <w:tcPr>
            <w:tcW w:w="1101" w:type="dxa"/>
            <w:vAlign w:val="top"/>
          </w:tcPr>
          <w:p w14:paraId="15C90BB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4.81</w:t>
            </w:r>
            <w:r>
              <w:rPr>
                <w:rFonts w:hint="default" w:ascii="Times New Roman Regular" w:hAnsi="Times New Roman Regular" w:eastAsia="宋体" w:cs="Times New Roman Regular"/>
                <w:sz w:val="15"/>
                <w:szCs w:val="15"/>
              </w:rPr>
              <w:t>±0.54</w:t>
            </w:r>
          </w:p>
        </w:tc>
        <w:tc>
          <w:tcPr>
            <w:tcW w:w="551" w:type="dxa"/>
            <w:vAlign w:val="top"/>
          </w:tcPr>
          <w:p w14:paraId="6BC9862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0.11</w:t>
            </w:r>
          </w:p>
        </w:tc>
      </w:tr>
      <w:tr w14:paraId="635F87FD">
        <w:trPr>
          <w:trHeight w:val="214" w:hRule="atLeast"/>
        </w:trPr>
        <w:tc>
          <w:tcPr>
            <w:tcW w:w="6654" w:type="dxa"/>
            <w:gridSpan w:val="3"/>
            <w:vAlign w:val="top"/>
          </w:tcPr>
          <w:p w14:paraId="4DB8CF8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7.1随访计划</w:t>
            </w:r>
          </w:p>
        </w:tc>
        <w:tc>
          <w:tcPr>
            <w:tcW w:w="1101" w:type="dxa"/>
            <w:vAlign w:val="top"/>
          </w:tcPr>
          <w:p w14:paraId="292AB68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7F40E27F">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2C867F5F">
        <w:trPr>
          <w:trHeight w:val="214" w:hRule="atLeast"/>
        </w:trPr>
        <w:tc>
          <w:tcPr>
            <w:tcW w:w="517" w:type="dxa"/>
            <w:vAlign w:val="top"/>
          </w:tcPr>
          <w:p w14:paraId="3A1C44F3">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7.1.1</w:t>
            </w:r>
          </w:p>
        </w:tc>
        <w:tc>
          <w:tcPr>
            <w:tcW w:w="4790" w:type="dxa"/>
            <w:vAlign w:val="top"/>
          </w:tcPr>
          <w:p w14:paraId="71FAE940">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轻度EB亚型，如局部EBS或轻度显性遗传DEB：①婴儿期随访为每 3</w:t>
            </w:r>
            <w:r>
              <w:rPr>
                <w:rFonts w:hint="default" w:ascii="Times New Roman Regular" w:hAnsi="Times New Roman Regular" w:eastAsia="宋体" w:cs="Times New Roman Regular"/>
                <w:sz w:val="15"/>
                <w:szCs w:val="15"/>
                <w:lang w:bidi="ar"/>
              </w:rPr>
              <w:noBreakHyphen/>
            </w:r>
            <w:r>
              <w:rPr>
                <w:rFonts w:hint="default" w:ascii="Times New Roman Regular" w:hAnsi="Times New Roman Regular" w:eastAsia="宋体" w:cs="Times New Roman Regular"/>
                <w:sz w:val="15"/>
                <w:szCs w:val="15"/>
                <w:lang w:bidi="ar"/>
              </w:rPr>
              <w:t>6 个月一次；②儿童期后为每1年进行一次随访</w:t>
            </w:r>
          </w:p>
        </w:tc>
        <w:tc>
          <w:tcPr>
            <w:tcW w:w="1347" w:type="dxa"/>
            <w:vAlign w:val="top"/>
          </w:tcPr>
          <w:p w14:paraId="07225C5D">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发放随访计划表，并通过电话提醒复诊</w:t>
            </w:r>
          </w:p>
        </w:tc>
        <w:tc>
          <w:tcPr>
            <w:tcW w:w="1101" w:type="dxa"/>
            <w:vAlign w:val="top"/>
          </w:tcPr>
          <w:p w14:paraId="5034DF8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4.55</w:t>
            </w:r>
            <w:r>
              <w:rPr>
                <w:rFonts w:hint="default" w:ascii="Times New Roman Regular" w:hAnsi="Times New Roman Regular" w:eastAsia="宋体" w:cs="Times New Roman Regular"/>
                <w:sz w:val="15"/>
                <w:szCs w:val="15"/>
              </w:rPr>
              <w:t>±0.69</w:t>
            </w:r>
          </w:p>
        </w:tc>
        <w:tc>
          <w:tcPr>
            <w:tcW w:w="551" w:type="dxa"/>
            <w:vAlign w:val="top"/>
          </w:tcPr>
          <w:p w14:paraId="0A0603B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0.15</w:t>
            </w:r>
          </w:p>
        </w:tc>
      </w:tr>
      <w:tr w14:paraId="5EFCFEB5">
        <w:trPr>
          <w:trHeight w:val="214" w:hRule="atLeast"/>
        </w:trPr>
        <w:tc>
          <w:tcPr>
            <w:tcW w:w="517" w:type="dxa"/>
            <w:vAlign w:val="top"/>
          </w:tcPr>
          <w:p w14:paraId="33B091D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7.1.2</w:t>
            </w:r>
          </w:p>
        </w:tc>
        <w:tc>
          <w:tcPr>
            <w:tcW w:w="4790" w:type="dxa"/>
            <w:vAlign w:val="top"/>
          </w:tcPr>
          <w:p w14:paraId="0234D4D7">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重型EB患者，如重度、泛发性隐性遗传DEB或JEB：①婴儿期宜每3个月就诊一次；②儿童期后为每1年至少两次随访；③16岁后为每3个月进行一次随访，警惕鳞状细胞癌</w:t>
            </w:r>
          </w:p>
        </w:tc>
        <w:tc>
          <w:tcPr>
            <w:tcW w:w="1347" w:type="dxa"/>
            <w:vAlign w:val="top"/>
          </w:tcPr>
          <w:p w14:paraId="4FF6BC7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发放随访计划表，并通过电话提醒复诊</w:t>
            </w:r>
          </w:p>
        </w:tc>
        <w:tc>
          <w:tcPr>
            <w:tcW w:w="1101" w:type="dxa"/>
            <w:vAlign w:val="top"/>
          </w:tcPr>
          <w:p w14:paraId="002F813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4.82</w:t>
            </w:r>
            <w:r>
              <w:rPr>
                <w:rFonts w:hint="default" w:ascii="Times New Roman Regular" w:hAnsi="Times New Roman Regular" w:eastAsia="宋体" w:cs="Times New Roman Regular"/>
                <w:sz w:val="15"/>
                <w:szCs w:val="15"/>
              </w:rPr>
              <w:t>±0.40</w:t>
            </w:r>
          </w:p>
        </w:tc>
        <w:tc>
          <w:tcPr>
            <w:tcW w:w="551" w:type="dxa"/>
            <w:vAlign w:val="top"/>
          </w:tcPr>
          <w:p w14:paraId="5724011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0.08</w:t>
            </w:r>
          </w:p>
        </w:tc>
      </w:tr>
      <w:tr w14:paraId="6E081841">
        <w:trPr>
          <w:trHeight w:val="214" w:hRule="atLeast"/>
        </w:trPr>
        <w:tc>
          <w:tcPr>
            <w:tcW w:w="6654" w:type="dxa"/>
            <w:gridSpan w:val="3"/>
            <w:vAlign w:val="top"/>
          </w:tcPr>
          <w:p w14:paraId="2A5E4BAE">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7.2随访内容及方式</w:t>
            </w:r>
          </w:p>
        </w:tc>
        <w:tc>
          <w:tcPr>
            <w:tcW w:w="1101" w:type="dxa"/>
            <w:vAlign w:val="top"/>
          </w:tcPr>
          <w:p w14:paraId="6ECF57C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4.88</w:t>
            </w:r>
            <w:r>
              <w:rPr>
                <w:rFonts w:hint="default" w:ascii="Times New Roman Regular" w:hAnsi="Times New Roman Regular" w:eastAsia="宋体" w:cs="Times New Roman Regular"/>
                <w:sz w:val="15"/>
                <w:szCs w:val="15"/>
              </w:rPr>
              <w:t>±0.34</w:t>
            </w:r>
          </w:p>
        </w:tc>
        <w:tc>
          <w:tcPr>
            <w:tcW w:w="551" w:type="dxa"/>
            <w:vAlign w:val="top"/>
          </w:tcPr>
          <w:p w14:paraId="1ADD416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0.07</w:t>
            </w:r>
          </w:p>
        </w:tc>
      </w:tr>
      <w:tr w14:paraId="3F27C08B">
        <w:trPr>
          <w:trHeight w:val="214" w:hRule="atLeast"/>
        </w:trPr>
        <w:tc>
          <w:tcPr>
            <w:tcW w:w="517" w:type="dxa"/>
            <w:vAlign w:val="top"/>
          </w:tcPr>
          <w:p w14:paraId="0AC1A059">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7.2.1</w:t>
            </w:r>
          </w:p>
        </w:tc>
        <w:tc>
          <w:tcPr>
            <w:tcW w:w="4790" w:type="dxa"/>
            <w:vAlign w:val="top"/>
          </w:tcPr>
          <w:p w14:paraId="412CCDCB">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随访内容：①全身伤口皮肤情况包括部位、大小、数量及愈合情况等；②敷料应用、换药时疼痛程度、关节活动度、营养状况及心理健康水平</w:t>
            </w:r>
          </w:p>
        </w:tc>
        <w:tc>
          <w:tcPr>
            <w:tcW w:w="1347" w:type="dxa"/>
            <w:vAlign w:val="top"/>
          </w:tcPr>
          <w:p w14:paraId="7C14EA34">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就诊时或在居家环境中定期进行患者情况收集</w:t>
            </w:r>
          </w:p>
        </w:tc>
        <w:tc>
          <w:tcPr>
            <w:tcW w:w="1101" w:type="dxa"/>
            <w:vAlign w:val="top"/>
          </w:tcPr>
          <w:p w14:paraId="50F7D5B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4.94</w:t>
            </w:r>
            <w:r>
              <w:rPr>
                <w:rFonts w:hint="default" w:ascii="Times New Roman Regular" w:hAnsi="Times New Roman Regular" w:eastAsia="宋体" w:cs="Times New Roman Regular"/>
                <w:sz w:val="15"/>
                <w:szCs w:val="15"/>
              </w:rPr>
              <w:t>±0.25</w:t>
            </w:r>
          </w:p>
        </w:tc>
        <w:tc>
          <w:tcPr>
            <w:tcW w:w="551" w:type="dxa"/>
            <w:vAlign w:val="top"/>
          </w:tcPr>
          <w:p w14:paraId="5583E78C">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0.05</w:t>
            </w:r>
          </w:p>
        </w:tc>
      </w:tr>
      <w:tr w14:paraId="2C664459">
        <w:trPr>
          <w:trHeight w:val="214" w:hRule="atLeast"/>
        </w:trPr>
        <w:tc>
          <w:tcPr>
            <w:tcW w:w="517" w:type="dxa"/>
            <w:vAlign w:val="top"/>
          </w:tcPr>
          <w:p w14:paraId="06EC5028">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7.2.2</w:t>
            </w:r>
          </w:p>
        </w:tc>
        <w:tc>
          <w:tcPr>
            <w:tcW w:w="4790" w:type="dxa"/>
            <w:vAlign w:val="top"/>
          </w:tcPr>
          <w:p w14:paraId="6E60678A">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随访方式：①使用电话、微信群、线下就诊等形式；②提供宣教手册、操作演示、视频教学、等多种方式进行健康教育</w:t>
            </w:r>
          </w:p>
        </w:tc>
        <w:tc>
          <w:tcPr>
            <w:tcW w:w="1347" w:type="dxa"/>
            <w:vAlign w:val="top"/>
          </w:tcPr>
          <w:p w14:paraId="484BD282">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提供视频及宣教手册</w:t>
            </w:r>
          </w:p>
        </w:tc>
        <w:tc>
          <w:tcPr>
            <w:tcW w:w="1101" w:type="dxa"/>
            <w:vAlign w:val="top"/>
          </w:tcPr>
          <w:p w14:paraId="520B74D1">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4.63</w:t>
            </w:r>
            <w:r>
              <w:rPr>
                <w:rFonts w:hint="default" w:ascii="Times New Roman Regular" w:hAnsi="Times New Roman Regular" w:eastAsia="宋体" w:cs="Times New Roman Regular"/>
                <w:sz w:val="15"/>
                <w:szCs w:val="15"/>
              </w:rPr>
              <w:t>±0.62</w:t>
            </w:r>
          </w:p>
        </w:tc>
        <w:tc>
          <w:tcPr>
            <w:tcW w:w="551" w:type="dxa"/>
            <w:vAlign w:val="top"/>
          </w:tcPr>
          <w:p w14:paraId="1A4209B5">
            <w:pPr>
              <w:spacing w:line="240" w:lineRule="exact"/>
              <w:rPr>
                <w:rFonts w:hint="default" w:ascii="Times New Roman Regular" w:hAnsi="Times New Roman Regular" w:eastAsia="宋体" w:cs="Times New Roman Regular"/>
                <w:sz w:val="15"/>
                <w:szCs w:val="15"/>
                <w:lang w:bidi="ar"/>
              </w:rPr>
            </w:pPr>
            <w:r>
              <w:rPr>
                <w:rFonts w:hint="default" w:ascii="Times New Roman Regular" w:hAnsi="Times New Roman Regular" w:eastAsia="宋体" w:cs="Times New Roman Regular"/>
                <w:sz w:val="15"/>
                <w:szCs w:val="15"/>
                <w:lang w:bidi="ar"/>
              </w:rPr>
              <w:t>0.21</w:t>
            </w:r>
          </w:p>
        </w:tc>
      </w:tr>
    </w:tbl>
    <w:p w14:paraId="493BC3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F7BD3"/>
    <w:rsid w:val="73FF7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Times New Roman"/>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2025-11-02T14:57:00Z</dcterms:created>
  <dc:creator>零</dc:creator>
  <cp:lastModifiedBy>零</cp:lastModifiedBy>
  <dcterms:modified xsi:type="dcterms:W3CDTF">2025-11-02T15:10:04Z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B537BE1622915150E10007693948E533_41</vt:lpwstr>
  </property>
</Properties>
</file>