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215"/>
        <w:gridCol w:w="4847"/>
      </w:tblGrid>
      <w:tr w14:paraId="772D7F42">
        <w:trPr>
          <w:trHeight w:val="90" w:hRule="atLeast"/>
        </w:trPr>
        <w:tc>
          <w:tcPr>
            <w:tcW w:w="1020" w:type="dxa"/>
            <w:vAlign w:val="top"/>
          </w:tcPr>
          <w:p w14:paraId="5076E02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干预形式</w:t>
            </w:r>
          </w:p>
        </w:tc>
        <w:tc>
          <w:tcPr>
            <w:tcW w:w="1215" w:type="dxa"/>
            <w:vAlign w:val="top"/>
          </w:tcPr>
          <w:p w14:paraId="65597383">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类别</w:t>
            </w:r>
          </w:p>
        </w:tc>
        <w:tc>
          <w:tcPr>
            <w:tcW w:w="4847" w:type="dxa"/>
            <w:vAlign w:val="top"/>
          </w:tcPr>
          <w:p w14:paraId="0A14689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具体干预方案内容</w:t>
            </w:r>
          </w:p>
        </w:tc>
      </w:tr>
      <w:tr w14:paraId="0436D2A4">
        <w:trPr>
          <w:trHeight w:val="474" w:hRule="atLeast"/>
        </w:trPr>
        <w:tc>
          <w:tcPr>
            <w:tcW w:w="7082" w:type="dxa"/>
            <w:gridSpan w:val="3"/>
            <w:vAlign w:val="top"/>
          </w:tcPr>
          <w:p w14:paraId="39F27139">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1.日常基础护理</w:t>
            </w:r>
          </w:p>
        </w:tc>
      </w:tr>
      <w:tr w14:paraId="49E98CE4">
        <w:trPr>
          <w:trHeight w:val="673" w:hRule="atLeast"/>
        </w:trPr>
        <w:tc>
          <w:tcPr>
            <w:tcW w:w="1020" w:type="dxa"/>
            <w:vMerge w:val="restart"/>
            <w:vAlign w:val="top"/>
          </w:tcPr>
          <w:p w14:paraId="28F1C433">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w:t>
            </w:r>
          </w:p>
        </w:tc>
        <w:tc>
          <w:tcPr>
            <w:tcW w:w="1215" w:type="dxa"/>
            <w:vMerge w:val="restart"/>
            <w:vAlign w:val="top"/>
          </w:tcPr>
          <w:p w14:paraId="0E979807">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1.1环境要求</w:t>
            </w:r>
          </w:p>
        </w:tc>
        <w:tc>
          <w:tcPr>
            <w:tcW w:w="4847" w:type="dxa"/>
          </w:tcPr>
          <w:p w14:paraId="42A94CA1">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照护者应能保持居家环境清洁，调节室温至24–26℃，并避免患儿过热，以减少皮肤损伤风险。</w:t>
            </w:r>
          </w:p>
        </w:tc>
      </w:tr>
      <w:tr w14:paraId="09FAB16B">
        <w:trPr>
          <w:trHeight w:val="673" w:hRule="atLeast"/>
        </w:trPr>
        <w:tc>
          <w:tcPr>
            <w:tcW w:w="1020" w:type="dxa"/>
            <w:vMerge w:val="continue"/>
            <w:vAlign w:val="top"/>
          </w:tcPr>
          <w:p w14:paraId="6E3C39B2">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vAlign w:val="top"/>
          </w:tcPr>
          <w:p w14:paraId="6CB78E1B">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tcPr>
          <w:p w14:paraId="696D3735">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default" w:ascii="宋体" w:hAnsi="宋体" w:eastAsia="宋体" w:cs="宋体"/>
                <w:b w:val="0"/>
                <w:bCs w:val="0"/>
                <w:kern w:val="2"/>
                <w:sz w:val="20"/>
                <w:szCs w:val="20"/>
                <w:vertAlign w:val="baseline"/>
                <w:lang w:val="en-US" w:eastAsia="zh-CN" w:bidi="ar-SA"/>
              </w:rPr>
              <w:t>能够识别并减少可能造成皮肤摩擦或损伤的环境风险因素（如粗糙床单、硬质玩具）。</w:t>
            </w:r>
          </w:p>
        </w:tc>
      </w:tr>
      <w:tr w14:paraId="7DA65493">
        <w:tc>
          <w:tcPr>
            <w:tcW w:w="1020" w:type="dxa"/>
            <w:vMerge w:val="restart"/>
            <w:vAlign w:val="top"/>
          </w:tcPr>
          <w:p w14:paraId="325A9463">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科普图文、自制居家核对表</w:t>
            </w:r>
          </w:p>
        </w:tc>
        <w:tc>
          <w:tcPr>
            <w:tcW w:w="1215" w:type="dxa"/>
            <w:vMerge w:val="restart"/>
            <w:vAlign w:val="top"/>
          </w:tcPr>
          <w:p w14:paraId="21907395">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1.2皮肤评估</w:t>
            </w:r>
          </w:p>
        </w:tc>
        <w:tc>
          <w:tcPr>
            <w:tcW w:w="4847" w:type="dxa"/>
          </w:tcPr>
          <w:p w14:paraId="7B23E07F">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照护者每日对患儿裸露的皮肤进行评估，重点评估手臂肘部、脚踝、膝盖等易摩擦部位及皮肤破损严重区域，观察是否有水疱、糜烂等皮肤破损产生；</w:t>
            </w:r>
          </w:p>
        </w:tc>
      </w:tr>
      <w:tr w14:paraId="36842692">
        <w:tc>
          <w:tcPr>
            <w:tcW w:w="1020" w:type="dxa"/>
            <w:vMerge w:val="continue"/>
            <w:vAlign w:val="top"/>
          </w:tcPr>
          <w:p w14:paraId="04C8DFCF">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vAlign w:val="top"/>
          </w:tcPr>
          <w:p w14:paraId="4656E418">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tcPr>
          <w:p w14:paraId="31F3324B">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婴幼儿宜在每次换尿布时评估尿布区域；伤口覆盖区域应每次换药时进行评估。</w:t>
            </w:r>
          </w:p>
        </w:tc>
      </w:tr>
      <w:tr w14:paraId="24026A22">
        <w:trPr>
          <w:trHeight w:val="208" w:hRule="atLeast"/>
        </w:trPr>
        <w:tc>
          <w:tcPr>
            <w:tcW w:w="1020" w:type="dxa"/>
            <w:vMerge w:val="restart"/>
            <w:vAlign w:val="top"/>
          </w:tcPr>
          <w:p w14:paraId="2C206C84">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w:t>
            </w:r>
          </w:p>
        </w:tc>
        <w:tc>
          <w:tcPr>
            <w:tcW w:w="1215" w:type="dxa"/>
            <w:vMerge w:val="restart"/>
            <w:vAlign w:val="top"/>
          </w:tcPr>
          <w:p w14:paraId="56EC8343">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1.3皮肤清洁</w:t>
            </w:r>
          </w:p>
        </w:tc>
        <w:tc>
          <w:tcPr>
            <w:tcW w:w="4847" w:type="dxa"/>
            <w:vAlign w:val="top"/>
          </w:tcPr>
          <w:p w14:paraId="1483F052">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照护者应根据伤口情况进行调整洗澡频率，避免每日过度清洁，可在集中大面积换药前进行，</w:t>
            </w:r>
            <w:r>
              <w:rPr>
                <w:rFonts w:hint="default" w:ascii="宋体" w:hAnsi="宋体" w:eastAsia="宋体" w:cs="宋体"/>
                <w:b w:val="0"/>
                <w:bCs w:val="0"/>
                <w:kern w:val="2"/>
                <w:sz w:val="20"/>
                <w:szCs w:val="20"/>
                <w:vertAlign w:val="baseline"/>
                <w:lang w:val="en-US" w:eastAsia="zh-CN" w:bidi="ar-SA"/>
              </w:rPr>
              <w:t>若使用含银敷料等可</w:t>
            </w:r>
            <w:r>
              <w:rPr>
                <w:rFonts w:hint="eastAsia" w:ascii="宋体" w:hAnsi="宋体" w:eastAsia="宋体" w:cs="宋体"/>
                <w:b w:val="0"/>
                <w:bCs w:val="0"/>
                <w:kern w:val="2"/>
                <w:sz w:val="20"/>
                <w:szCs w:val="20"/>
                <w:vertAlign w:val="baseline"/>
                <w:lang w:val="en-US" w:eastAsia="zh-CN" w:bidi="ar-SA"/>
              </w:rPr>
              <w:t>延长</w:t>
            </w:r>
            <w:r>
              <w:rPr>
                <w:rFonts w:hint="default" w:ascii="宋体" w:hAnsi="宋体" w:eastAsia="宋体" w:cs="宋体"/>
                <w:b w:val="0"/>
                <w:bCs w:val="0"/>
                <w:kern w:val="2"/>
                <w:sz w:val="20"/>
                <w:szCs w:val="20"/>
                <w:vertAlign w:val="baseline"/>
                <w:lang w:val="en-US" w:eastAsia="zh-CN" w:bidi="ar-SA"/>
              </w:rPr>
              <w:t>至每周一次</w:t>
            </w:r>
            <w:r>
              <w:rPr>
                <w:rFonts w:hint="eastAsia" w:ascii="宋体" w:hAnsi="宋体" w:eastAsia="宋体" w:cs="宋体"/>
                <w:b w:val="0"/>
                <w:bCs w:val="0"/>
                <w:kern w:val="2"/>
                <w:sz w:val="20"/>
                <w:szCs w:val="20"/>
                <w:vertAlign w:val="baseline"/>
                <w:lang w:val="en-US" w:eastAsia="zh-CN" w:bidi="ar-SA"/>
              </w:rPr>
              <w:t>；每次洗澡时间不宜过长，15-20分钟为宜。</w:t>
            </w:r>
          </w:p>
        </w:tc>
      </w:tr>
      <w:tr w14:paraId="7415F248">
        <w:trPr>
          <w:trHeight w:val="208" w:hRule="atLeast"/>
        </w:trPr>
        <w:tc>
          <w:tcPr>
            <w:tcW w:w="1020" w:type="dxa"/>
            <w:vMerge w:val="continue"/>
            <w:vAlign w:val="top"/>
          </w:tcPr>
          <w:p w14:paraId="3560D18B">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vAlign w:val="top"/>
          </w:tcPr>
          <w:p w14:paraId="565FC067">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vAlign w:val="top"/>
          </w:tcPr>
          <w:p w14:paraId="37F85087">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新生儿在出生时造成的皮肤损伤尚未愈合前，宜避免洗澡。</w:t>
            </w:r>
          </w:p>
        </w:tc>
      </w:tr>
      <w:tr w14:paraId="6BE14101">
        <w:trPr>
          <w:trHeight w:val="90" w:hRule="atLeast"/>
        </w:trPr>
        <w:tc>
          <w:tcPr>
            <w:tcW w:w="1020" w:type="dxa"/>
            <w:vMerge w:val="continue"/>
            <w:vAlign w:val="top"/>
          </w:tcPr>
          <w:p w14:paraId="5B2FC66B">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vAlign w:val="top"/>
          </w:tcPr>
          <w:p w14:paraId="34D60964">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vAlign w:val="top"/>
          </w:tcPr>
          <w:p w14:paraId="2C72015C">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根据患儿情况选择合适的清洗溶液：温开水0.9%</w:t>
            </w:r>
            <w:r>
              <w:rPr>
                <w:rFonts w:hint="default" w:ascii="宋体" w:hAnsi="宋体" w:eastAsia="宋体" w:cs="宋体"/>
                <w:b w:val="0"/>
                <w:bCs w:val="0"/>
                <w:kern w:val="2"/>
                <w:sz w:val="20"/>
                <w:szCs w:val="20"/>
                <w:vertAlign w:val="baseline"/>
                <w:lang w:val="en-US" w:eastAsia="zh-CN" w:bidi="ar-SA"/>
              </w:rPr>
              <w:t>盐水</w:t>
            </w:r>
            <w:r>
              <w:rPr>
                <w:rFonts w:hint="eastAsia" w:ascii="宋体" w:hAnsi="宋体" w:eastAsia="宋体" w:cs="宋体"/>
                <w:b w:val="0"/>
                <w:bCs w:val="0"/>
                <w:kern w:val="2"/>
                <w:sz w:val="20"/>
                <w:szCs w:val="20"/>
                <w:vertAlign w:val="baseline"/>
                <w:lang w:val="en-US" w:eastAsia="zh-CN" w:bidi="ar-SA"/>
              </w:rPr>
              <w:t>或稀释的次氯酸钠</w:t>
            </w:r>
            <w:r>
              <w:rPr>
                <w:rFonts w:hint="default" w:ascii="宋体" w:hAnsi="宋体" w:eastAsia="宋体" w:cs="宋体"/>
                <w:b w:val="0"/>
                <w:bCs w:val="0"/>
                <w:kern w:val="2"/>
                <w:sz w:val="20"/>
                <w:szCs w:val="20"/>
                <w:vertAlign w:val="baseline"/>
                <w:lang w:val="en-US" w:eastAsia="zh-CN" w:bidi="ar-SA"/>
              </w:rPr>
              <w:t>（</w:t>
            </w:r>
            <w:r>
              <w:rPr>
                <w:rFonts w:hint="eastAsia" w:ascii="宋体" w:hAnsi="宋体" w:eastAsia="宋体" w:cs="宋体"/>
                <w:b w:val="0"/>
                <w:bCs w:val="0"/>
                <w:kern w:val="2"/>
                <w:sz w:val="20"/>
                <w:szCs w:val="20"/>
                <w:vertAlign w:val="baseline"/>
                <w:lang w:val="en-US" w:eastAsia="zh-CN" w:bidi="ar-SA"/>
              </w:rPr>
              <w:t>如可及，但1岁以下婴幼儿禁止使用</w:t>
            </w:r>
            <w:r>
              <w:rPr>
                <w:rFonts w:hint="default" w:ascii="宋体" w:hAnsi="宋体" w:eastAsia="宋体" w:cs="宋体"/>
                <w:b w:val="0"/>
                <w:bCs w:val="0"/>
                <w:kern w:val="2"/>
                <w:sz w:val="20"/>
                <w:szCs w:val="20"/>
                <w:vertAlign w:val="baseline"/>
                <w:lang w:val="en-US" w:eastAsia="zh-CN" w:bidi="ar-SA"/>
              </w:rPr>
              <w:t>）</w:t>
            </w:r>
            <w:r>
              <w:rPr>
                <w:rFonts w:hint="eastAsia" w:ascii="宋体" w:hAnsi="宋体" w:eastAsia="宋体" w:cs="宋体"/>
                <w:b w:val="0"/>
                <w:bCs w:val="0"/>
                <w:kern w:val="2"/>
                <w:sz w:val="20"/>
                <w:szCs w:val="20"/>
                <w:vertAlign w:val="baseline"/>
                <w:lang w:val="en-US" w:eastAsia="zh-CN" w:bidi="ar-SA"/>
              </w:rPr>
              <w:t>进行清洁</w:t>
            </w:r>
            <w:r>
              <w:rPr>
                <w:rFonts w:hint="default" w:ascii="宋体" w:hAnsi="宋体" w:eastAsia="宋体" w:cs="宋体"/>
                <w:b w:val="0"/>
                <w:bCs w:val="0"/>
                <w:kern w:val="2"/>
                <w:sz w:val="20"/>
                <w:szCs w:val="20"/>
                <w:vertAlign w:val="baseline"/>
                <w:lang w:val="en-US" w:eastAsia="zh-CN" w:bidi="ar-SA"/>
              </w:rPr>
              <w:t>，每周最多</w:t>
            </w:r>
            <w:r>
              <w:rPr>
                <w:rFonts w:hint="eastAsia" w:ascii="宋体" w:hAnsi="宋体" w:eastAsia="宋体" w:cs="宋体"/>
                <w:b w:val="0"/>
                <w:bCs w:val="0"/>
                <w:kern w:val="2"/>
                <w:sz w:val="20"/>
                <w:szCs w:val="20"/>
                <w:vertAlign w:val="baseline"/>
                <w:lang w:val="en-US" w:eastAsia="zh-CN" w:bidi="ar-SA"/>
              </w:rPr>
              <w:t>使用2次次氯酸钠</w:t>
            </w:r>
            <w:r>
              <w:rPr>
                <w:rFonts w:hint="default" w:ascii="宋体" w:hAnsi="宋体" w:eastAsia="宋体" w:cs="宋体"/>
                <w:b w:val="0"/>
                <w:bCs w:val="0"/>
                <w:kern w:val="2"/>
                <w:sz w:val="20"/>
                <w:szCs w:val="20"/>
                <w:vertAlign w:val="baseline"/>
                <w:lang w:val="en-US" w:eastAsia="zh-CN" w:bidi="ar-SA"/>
              </w:rPr>
              <w:t>。</w:t>
            </w:r>
          </w:p>
          <w:p w14:paraId="6C78C9B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稀释次氯酸钠：</w:t>
            </w:r>
            <w:r>
              <w:rPr>
                <w:rFonts w:hint="default" w:ascii="宋体" w:hAnsi="宋体" w:eastAsia="宋体" w:cs="宋体"/>
                <w:b w:val="0"/>
                <w:bCs w:val="0"/>
                <w:kern w:val="2"/>
                <w:sz w:val="20"/>
                <w:szCs w:val="20"/>
                <w:vertAlign w:val="baseline"/>
                <w:lang w:val="en-US" w:eastAsia="zh-CN" w:bidi="ar-SA"/>
              </w:rPr>
              <w:t>15L</w:t>
            </w:r>
            <w:r>
              <w:rPr>
                <w:rFonts w:hint="eastAsia" w:ascii="宋体" w:hAnsi="宋体" w:eastAsia="宋体" w:cs="宋体"/>
                <w:b w:val="0"/>
                <w:bCs w:val="0"/>
                <w:kern w:val="2"/>
                <w:sz w:val="20"/>
                <w:szCs w:val="20"/>
                <w:vertAlign w:val="baseline"/>
                <w:lang w:val="en-US" w:eastAsia="zh-CN" w:bidi="ar-SA"/>
              </w:rPr>
              <w:t>水</w:t>
            </w:r>
            <w:r>
              <w:rPr>
                <w:rFonts w:hint="default" w:ascii="宋体" w:hAnsi="宋体" w:eastAsia="宋体" w:cs="宋体"/>
                <w:b w:val="0"/>
                <w:bCs w:val="0"/>
                <w:kern w:val="2"/>
                <w:sz w:val="20"/>
                <w:szCs w:val="20"/>
                <w:vertAlign w:val="baseline"/>
                <w:lang w:val="en-US" w:eastAsia="zh-CN" w:bidi="ar-SA"/>
              </w:rPr>
              <w:t>+30ml浓度为2.1%</w:t>
            </w:r>
            <w:r>
              <w:rPr>
                <w:rFonts w:hint="eastAsia" w:ascii="宋体" w:hAnsi="宋体" w:eastAsia="宋体" w:cs="宋体"/>
                <w:b w:val="0"/>
                <w:bCs w:val="0"/>
                <w:kern w:val="2"/>
                <w:sz w:val="20"/>
                <w:szCs w:val="20"/>
                <w:vertAlign w:val="baseline"/>
                <w:lang w:val="en-US" w:eastAsia="zh-CN" w:bidi="ar-SA"/>
              </w:rPr>
              <w:t>次氯酸钠</w:t>
            </w:r>
          </w:p>
        </w:tc>
      </w:tr>
      <w:tr w14:paraId="02B8056F">
        <w:trPr>
          <w:trHeight w:val="208" w:hRule="atLeast"/>
        </w:trPr>
        <w:tc>
          <w:tcPr>
            <w:tcW w:w="1020" w:type="dxa"/>
            <w:vMerge w:val="continue"/>
            <w:vAlign w:val="top"/>
          </w:tcPr>
          <w:p w14:paraId="6B197E45">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vAlign w:val="top"/>
          </w:tcPr>
          <w:p w14:paraId="441B398F">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vAlign w:val="top"/>
          </w:tcPr>
          <w:p w14:paraId="7921DC74">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default" w:ascii="宋体" w:hAnsi="宋体" w:eastAsia="宋体" w:cs="宋体"/>
                <w:b w:val="0"/>
                <w:bCs w:val="0"/>
                <w:kern w:val="2"/>
                <w:sz w:val="20"/>
                <w:szCs w:val="20"/>
                <w:vertAlign w:val="baseline"/>
                <w:lang w:val="en-US" w:eastAsia="zh-CN" w:bidi="ar-SA"/>
              </w:rPr>
              <w:t>若使用稀释</w:t>
            </w:r>
            <w:r>
              <w:rPr>
                <w:rFonts w:hint="eastAsia" w:ascii="宋体" w:hAnsi="宋体" w:eastAsia="宋体" w:cs="宋体"/>
                <w:b w:val="0"/>
                <w:bCs w:val="0"/>
                <w:kern w:val="2"/>
                <w:sz w:val="20"/>
                <w:szCs w:val="20"/>
                <w:vertAlign w:val="baseline"/>
                <w:lang w:val="en-US" w:eastAsia="zh-CN" w:bidi="ar-SA"/>
              </w:rPr>
              <w:t>次氯酸钠沐浴，应在</w:t>
            </w:r>
            <w:r>
              <w:rPr>
                <w:rFonts w:hint="default" w:ascii="宋体" w:hAnsi="宋体" w:eastAsia="宋体" w:cs="宋体"/>
                <w:b w:val="0"/>
                <w:bCs w:val="0"/>
                <w:kern w:val="2"/>
                <w:sz w:val="20"/>
                <w:szCs w:val="20"/>
                <w:vertAlign w:val="baseline"/>
                <w:lang w:val="en-US" w:eastAsia="zh-CN" w:bidi="ar-SA"/>
              </w:rPr>
              <w:t>10-15分钟后立即用清水冲洗干净</w:t>
            </w:r>
            <w:r>
              <w:rPr>
                <w:rFonts w:hint="eastAsia" w:ascii="宋体" w:hAnsi="宋体" w:eastAsia="宋体" w:cs="宋体"/>
                <w:b w:val="0"/>
                <w:bCs w:val="0"/>
                <w:kern w:val="2"/>
                <w:sz w:val="20"/>
                <w:szCs w:val="20"/>
                <w:vertAlign w:val="baseline"/>
                <w:lang w:val="en-US" w:eastAsia="zh-CN" w:bidi="ar-SA"/>
              </w:rPr>
              <w:t>，</w:t>
            </w:r>
            <w:r>
              <w:rPr>
                <w:rFonts w:hint="default" w:ascii="宋体" w:hAnsi="宋体" w:eastAsia="宋体" w:cs="宋体"/>
                <w:b w:val="0"/>
                <w:bCs w:val="0"/>
                <w:kern w:val="2"/>
                <w:sz w:val="20"/>
                <w:szCs w:val="20"/>
                <w:vertAlign w:val="baseline"/>
                <w:lang w:val="en-US" w:eastAsia="zh-CN" w:bidi="ar-SA"/>
              </w:rPr>
              <w:t>注意避免接触眼睛及口腔</w:t>
            </w:r>
            <w:r>
              <w:rPr>
                <w:rFonts w:hint="eastAsia" w:ascii="宋体" w:hAnsi="宋体" w:eastAsia="宋体" w:cs="宋体"/>
                <w:b w:val="0"/>
                <w:bCs w:val="0"/>
                <w:kern w:val="2"/>
                <w:sz w:val="20"/>
                <w:szCs w:val="20"/>
                <w:vertAlign w:val="baseline"/>
                <w:lang w:val="en-US" w:eastAsia="zh-CN" w:bidi="ar-SA"/>
              </w:rPr>
              <w:t>；</w:t>
            </w:r>
          </w:p>
        </w:tc>
      </w:tr>
      <w:tr w14:paraId="73ECFC23">
        <w:trPr>
          <w:trHeight w:val="208" w:hRule="atLeast"/>
        </w:trPr>
        <w:tc>
          <w:tcPr>
            <w:tcW w:w="1020" w:type="dxa"/>
            <w:vMerge w:val="continue"/>
            <w:vAlign w:val="top"/>
          </w:tcPr>
          <w:p w14:paraId="437C25D5">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vAlign w:val="top"/>
          </w:tcPr>
          <w:p w14:paraId="30F0856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vAlign w:val="top"/>
          </w:tcPr>
          <w:p w14:paraId="5095ED26">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洗澡后使用柔软的毛巾将身体轻轻拍干或吸干身体表面水分后，立即使用无香料、低敏护肤产品如凡士林等，尽可能沿着同一个方向平滑涂抹保湿霜，避免抹在开放性伤口上。不建议使用刺激性表面活性剂（如十二烷基硫酸钠）成分的保湿霜。</w:t>
            </w:r>
          </w:p>
        </w:tc>
      </w:tr>
      <w:tr w14:paraId="64BA072F">
        <w:trPr>
          <w:trHeight w:val="124" w:hRule="atLeast"/>
        </w:trPr>
        <w:tc>
          <w:tcPr>
            <w:tcW w:w="1020" w:type="dxa"/>
            <w:vMerge w:val="restart"/>
            <w:vAlign w:val="top"/>
          </w:tcPr>
          <w:p w14:paraId="604C05EB">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w:t>
            </w:r>
          </w:p>
        </w:tc>
        <w:tc>
          <w:tcPr>
            <w:tcW w:w="1215" w:type="dxa"/>
            <w:vMerge w:val="restart"/>
            <w:vAlign w:val="top"/>
          </w:tcPr>
          <w:p w14:paraId="265BE583">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1.4皮肤保护</w:t>
            </w:r>
          </w:p>
        </w:tc>
        <w:tc>
          <w:tcPr>
            <w:tcW w:w="4847" w:type="dxa"/>
            <w:shd w:val="clear" w:color="auto" w:fill="auto"/>
            <w:vAlign w:val="top"/>
          </w:tcPr>
          <w:p w14:paraId="6BA282E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照护者在日常生活可选择使用纯棉可洗尿布，或剪掉一次性尿片的内部松紧带及魔术贴部分以减少摩擦。</w:t>
            </w:r>
          </w:p>
        </w:tc>
      </w:tr>
      <w:tr w14:paraId="1678C4DF">
        <w:trPr>
          <w:trHeight w:val="124" w:hRule="atLeast"/>
        </w:trPr>
        <w:tc>
          <w:tcPr>
            <w:tcW w:w="1020" w:type="dxa"/>
            <w:vMerge w:val="continue"/>
            <w:vAlign w:val="top"/>
          </w:tcPr>
          <w:p w14:paraId="272F2AC2">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vAlign w:val="top"/>
          </w:tcPr>
          <w:p w14:paraId="5B84CEF5">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2220DCB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可通过给婴幼儿穿上衣物或使用弹性绷带和筒状弹性绷带包扎来防止踢腿或摩擦引起的皮肤自伤。</w:t>
            </w:r>
          </w:p>
        </w:tc>
      </w:tr>
      <w:tr w14:paraId="77502413">
        <w:trPr>
          <w:trHeight w:val="124" w:hRule="atLeast"/>
        </w:trPr>
        <w:tc>
          <w:tcPr>
            <w:tcW w:w="1020" w:type="dxa"/>
            <w:vMerge w:val="continue"/>
            <w:vAlign w:val="top"/>
          </w:tcPr>
          <w:p w14:paraId="18DDECA1">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vAlign w:val="top"/>
          </w:tcPr>
          <w:p w14:paraId="309A682C">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36474BE6">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可通过给患儿</w:t>
            </w:r>
            <w:r>
              <w:rPr>
                <w:rFonts w:hint="default" w:ascii="宋体" w:hAnsi="宋体" w:eastAsia="宋体" w:cs="宋体"/>
                <w:b w:val="0"/>
                <w:bCs w:val="0"/>
                <w:kern w:val="2"/>
                <w:sz w:val="20"/>
                <w:szCs w:val="20"/>
                <w:vertAlign w:val="baseline"/>
                <w:lang w:val="en-US" w:eastAsia="zh-CN" w:bidi="ar-SA"/>
              </w:rPr>
              <w:t>佩戴手套</w:t>
            </w:r>
            <w:r>
              <w:rPr>
                <w:rFonts w:hint="eastAsia" w:ascii="宋体" w:hAnsi="宋体" w:eastAsia="宋体" w:cs="宋体"/>
                <w:b w:val="0"/>
                <w:bCs w:val="0"/>
                <w:kern w:val="2"/>
                <w:sz w:val="20"/>
                <w:szCs w:val="20"/>
                <w:vertAlign w:val="baseline"/>
                <w:lang w:val="en-US" w:eastAsia="zh-CN" w:bidi="ar-SA"/>
              </w:rPr>
              <w:t>、夜里看护、使用弹力绷带等方式保护患儿无意识的抓挠。</w:t>
            </w:r>
          </w:p>
        </w:tc>
      </w:tr>
      <w:tr w14:paraId="646A4715">
        <w:trPr>
          <w:trHeight w:val="124" w:hRule="atLeast"/>
        </w:trPr>
        <w:tc>
          <w:tcPr>
            <w:tcW w:w="1020" w:type="dxa"/>
            <w:vMerge w:val="continue"/>
            <w:vAlign w:val="top"/>
          </w:tcPr>
          <w:p w14:paraId="2BBF03E1">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vAlign w:val="top"/>
          </w:tcPr>
          <w:p w14:paraId="0B5FEF44">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7F1C0867">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照护者应掌握特殊时期患儿的活动保护，爬行期用泡沐敷料或者柔软的纱布保护膝盖、手部、双肘等。学步期患儿做好头部、臀部等部位的保护。</w:t>
            </w:r>
          </w:p>
        </w:tc>
      </w:tr>
      <w:tr w14:paraId="453478C6">
        <w:trPr>
          <w:trHeight w:val="124" w:hRule="atLeast"/>
        </w:trPr>
        <w:tc>
          <w:tcPr>
            <w:tcW w:w="1020" w:type="dxa"/>
            <w:vMerge w:val="continue"/>
            <w:vAlign w:val="top"/>
          </w:tcPr>
          <w:p w14:paraId="62C41486">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vAlign w:val="top"/>
          </w:tcPr>
          <w:p w14:paraId="2EA1D059">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2F559AC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对于金德乐综合症患者，需早期做好防晒措施，可通过佩戴防晒帽，遮阳伞等物理防晒，或在日晒前15-30分钟涂抹足量的防晒霜，小于6个月的患儿应使用物理防晒。</w:t>
            </w:r>
          </w:p>
        </w:tc>
      </w:tr>
      <w:tr w14:paraId="06BFF23C">
        <w:trPr>
          <w:trHeight w:val="208" w:hRule="atLeast"/>
        </w:trPr>
        <w:tc>
          <w:tcPr>
            <w:tcW w:w="1020" w:type="dxa"/>
            <w:vMerge w:val="restart"/>
            <w:vAlign w:val="top"/>
          </w:tcPr>
          <w:p w14:paraId="2DAFCF0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科普图文、专家讲座</w:t>
            </w:r>
          </w:p>
        </w:tc>
        <w:tc>
          <w:tcPr>
            <w:tcW w:w="1215" w:type="dxa"/>
            <w:vMerge w:val="restart"/>
            <w:vAlign w:val="top"/>
          </w:tcPr>
          <w:p w14:paraId="76E31852">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1.5皮肤瘙痒</w:t>
            </w:r>
          </w:p>
        </w:tc>
        <w:tc>
          <w:tcPr>
            <w:tcW w:w="4847" w:type="dxa"/>
            <w:shd w:val="clear" w:color="auto" w:fill="auto"/>
            <w:vAlign w:val="top"/>
          </w:tcPr>
          <w:p w14:paraId="0C5C1AF4">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夏日可将润肤产品放置冰箱降低温度后使用，可缓解皮肤瘙痒。</w:t>
            </w:r>
          </w:p>
        </w:tc>
      </w:tr>
      <w:tr w14:paraId="2FB5DB91">
        <w:trPr>
          <w:trHeight w:val="208" w:hRule="atLeast"/>
        </w:trPr>
        <w:tc>
          <w:tcPr>
            <w:tcW w:w="1020" w:type="dxa"/>
            <w:vMerge w:val="continue"/>
            <w:vAlign w:val="top"/>
          </w:tcPr>
          <w:p w14:paraId="5B8DF7F9">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vAlign w:val="top"/>
          </w:tcPr>
          <w:p w14:paraId="5B15971C">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77916A6F">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照护者应指导患儿使用放松练习、转移注意力、深呼吸等方式来降低情感因素造成的瘙痒。</w:t>
            </w:r>
          </w:p>
        </w:tc>
      </w:tr>
      <w:tr w14:paraId="7C9A8C87">
        <w:trPr>
          <w:trHeight w:val="208" w:hRule="atLeast"/>
        </w:trPr>
        <w:tc>
          <w:tcPr>
            <w:tcW w:w="1020" w:type="dxa"/>
            <w:vMerge w:val="continue"/>
            <w:vAlign w:val="top"/>
          </w:tcPr>
          <w:p w14:paraId="656DCB08">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vAlign w:val="top"/>
          </w:tcPr>
          <w:p w14:paraId="6DCAFDC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7E4EB8AE">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可使用轻压皮肤或吹气代替挠抓，若确实需要挠抓，使用末端圆形、可接触皮肤的按摩装置。</w:t>
            </w:r>
          </w:p>
        </w:tc>
      </w:tr>
      <w:tr w14:paraId="51EA6559">
        <w:trPr>
          <w:trHeight w:val="208" w:hRule="atLeast"/>
        </w:trPr>
        <w:tc>
          <w:tcPr>
            <w:tcW w:w="1020" w:type="dxa"/>
            <w:vMerge w:val="continue"/>
            <w:vAlign w:val="top"/>
          </w:tcPr>
          <w:p w14:paraId="0878A655">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vAlign w:val="top"/>
          </w:tcPr>
          <w:p w14:paraId="20DBB87C">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6D51F011">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伤口愈合期间的瘙痒可遵医嘱使用止痒药物；无法控制的瘙痒应及时就医，避免自行用药。</w:t>
            </w:r>
          </w:p>
        </w:tc>
      </w:tr>
      <w:tr w14:paraId="294C20C5">
        <w:trPr>
          <w:trHeight w:val="208" w:hRule="atLeast"/>
        </w:trPr>
        <w:tc>
          <w:tcPr>
            <w:tcW w:w="1020" w:type="dxa"/>
            <w:vMerge w:val="restart"/>
            <w:vAlign w:val="top"/>
          </w:tcPr>
          <w:p w14:paraId="67BEA45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w:t>
            </w:r>
          </w:p>
        </w:tc>
        <w:tc>
          <w:tcPr>
            <w:tcW w:w="1215" w:type="dxa"/>
            <w:vMerge w:val="restart"/>
            <w:vAlign w:val="top"/>
          </w:tcPr>
          <w:p w14:paraId="5FB616DF">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1.6衣物选择</w:t>
            </w:r>
          </w:p>
        </w:tc>
        <w:tc>
          <w:tcPr>
            <w:tcW w:w="4847" w:type="dxa"/>
            <w:shd w:val="clear" w:color="auto" w:fill="auto"/>
            <w:vAlign w:val="top"/>
          </w:tcPr>
          <w:p w14:paraId="4B122B9F">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掌握合适衣物的选择方式。具体为避免选择毛料衣物及含麻材质的衣物，应选择棉质或者丝质，柔软、无松紧带、扣子、商标、接缝处无隆起的宽松衣物；将衣服反穿，剪除衣物标签，减少对皮肤的机械摩擦。</w:t>
            </w:r>
          </w:p>
        </w:tc>
      </w:tr>
      <w:tr w14:paraId="337C43F6">
        <w:trPr>
          <w:trHeight w:val="208" w:hRule="atLeast"/>
        </w:trPr>
        <w:tc>
          <w:tcPr>
            <w:tcW w:w="1020" w:type="dxa"/>
            <w:vMerge w:val="continue"/>
            <w:vAlign w:val="top"/>
          </w:tcPr>
          <w:p w14:paraId="72092C8E">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vAlign w:val="top"/>
          </w:tcPr>
          <w:p w14:paraId="336014F9">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490EE4DC">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应选择没有隆起接缝的袜子，可选择银纤维袜、竹纤维袜、双层袜等。</w:t>
            </w:r>
          </w:p>
        </w:tc>
      </w:tr>
      <w:tr w14:paraId="7487D8C4">
        <w:trPr>
          <w:trHeight w:val="208" w:hRule="atLeast"/>
        </w:trPr>
        <w:tc>
          <w:tcPr>
            <w:tcW w:w="1020" w:type="dxa"/>
            <w:vMerge w:val="continue"/>
            <w:vAlign w:val="top"/>
          </w:tcPr>
          <w:p w14:paraId="09BC402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vAlign w:val="top"/>
          </w:tcPr>
          <w:p w14:paraId="3F78FF8E">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2F776DDB">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选择的鞋应具有以下特征：长宽合适（最长的脚趾前面至少有6毫米空间），鞋头为圆形，趾头处有充裕的空间，有防滑的鞋带或粘扣、搭钩款式，鞋内部较平或没有接缝；鞋子内部可增加鞋垫，适当缓解摩擦力和剪切力，以踩到石子不硌脚底为宜。</w:t>
            </w:r>
          </w:p>
        </w:tc>
      </w:tr>
      <w:tr w14:paraId="1383DC56">
        <w:tc>
          <w:tcPr>
            <w:tcW w:w="1020" w:type="dxa"/>
            <w:vAlign w:val="top"/>
          </w:tcPr>
          <w:p w14:paraId="2B4018B6">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科普图文、线下示范</w:t>
            </w:r>
          </w:p>
        </w:tc>
        <w:tc>
          <w:tcPr>
            <w:tcW w:w="1215" w:type="dxa"/>
            <w:vAlign w:val="top"/>
          </w:tcPr>
          <w:p w14:paraId="54E26614">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1.7体位改变</w:t>
            </w:r>
          </w:p>
        </w:tc>
        <w:tc>
          <w:tcPr>
            <w:tcW w:w="4847" w:type="dxa"/>
          </w:tcPr>
          <w:p w14:paraId="0DD45CF4">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掌握转移患儿的方式。具体为新生儿应借助软垫或厚泡沫垫来转移患儿，如从床上转移到看护者怀里，或使用侧抱技术来转移患儿（先将小孩侧身，一只手托住臀部，另一只手托脖子后面，将患儿躺在照护者手上后再抱起患儿），出行时座椅应加软垫以避免摩擦。</w:t>
            </w:r>
          </w:p>
        </w:tc>
      </w:tr>
      <w:tr w14:paraId="4AC51C1A">
        <w:trPr>
          <w:trHeight w:val="419" w:hRule="atLeast"/>
        </w:trPr>
        <w:tc>
          <w:tcPr>
            <w:tcW w:w="7082" w:type="dxa"/>
            <w:gridSpan w:val="3"/>
            <w:shd w:val="clear" w:color="auto" w:fill="auto"/>
            <w:vAlign w:val="top"/>
          </w:tcPr>
          <w:p w14:paraId="643D1C3C">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2.伤口换药护理</w:t>
            </w:r>
          </w:p>
        </w:tc>
      </w:tr>
      <w:tr w14:paraId="39A894C0">
        <w:trPr>
          <w:trHeight w:val="419" w:hRule="atLeast"/>
        </w:trPr>
        <w:tc>
          <w:tcPr>
            <w:tcW w:w="1020" w:type="dxa"/>
            <w:vMerge w:val="restart"/>
            <w:shd w:val="clear" w:color="auto" w:fill="auto"/>
            <w:vAlign w:val="top"/>
          </w:tcPr>
          <w:p w14:paraId="45B21E48">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w:t>
            </w:r>
          </w:p>
        </w:tc>
        <w:tc>
          <w:tcPr>
            <w:tcW w:w="1215" w:type="dxa"/>
            <w:vMerge w:val="restart"/>
            <w:shd w:val="clear" w:color="auto" w:fill="auto"/>
            <w:vAlign w:val="top"/>
          </w:tcPr>
          <w:p w14:paraId="23711DF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2.1环境及用物准备</w:t>
            </w:r>
          </w:p>
        </w:tc>
        <w:tc>
          <w:tcPr>
            <w:tcW w:w="4847" w:type="dxa"/>
            <w:vAlign w:val="top"/>
          </w:tcPr>
          <w:p w14:paraId="34C97D31">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照护者应选择光线明亮，温湿度适宜的室内环境，换药人员尽量固定。换药前可使用紫外线消毒30-60分钟。</w:t>
            </w:r>
          </w:p>
        </w:tc>
      </w:tr>
      <w:tr w14:paraId="3F082C03">
        <w:trPr>
          <w:trHeight w:val="419" w:hRule="atLeast"/>
        </w:trPr>
        <w:tc>
          <w:tcPr>
            <w:tcW w:w="1020" w:type="dxa"/>
            <w:vMerge w:val="continue"/>
            <w:shd w:val="clear" w:color="auto" w:fill="auto"/>
            <w:vAlign w:val="top"/>
          </w:tcPr>
          <w:p w14:paraId="1E347841">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19C4999E">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vAlign w:val="top"/>
          </w:tcPr>
          <w:p w14:paraId="14FA3F5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换药前使用消毒液擦拭换药台面，后用清水擦干，放置干净毛巾或一次性无菌垫作为操作面。</w:t>
            </w:r>
          </w:p>
        </w:tc>
      </w:tr>
      <w:tr w14:paraId="5CFB30A7">
        <w:trPr>
          <w:trHeight w:val="419" w:hRule="atLeast"/>
        </w:trPr>
        <w:tc>
          <w:tcPr>
            <w:tcW w:w="1020" w:type="dxa"/>
            <w:vMerge w:val="continue"/>
            <w:shd w:val="clear" w:color="auto" w:fill="auto"/>
            <w:vAlign w:val="top"/>
          </w:tcPr>
          <w:p w14:paraId="1CCBE7BB">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72C34746">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vAlign w:val="top"/>
          </w:tcPr>
          <w:p w14:paraId="374CF116">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将所需物品一次性摆好：如无菌敷料（尽量一次性用完，若无法用完注意封闭保存）、针筒、生理盐水、镊子、2把剪刀（一把剪脏的敷料，一把剪无菌敷料）；换药工具提前煮沸或75%的酒精消毒，准备好垃圾桶避免脏敷料污染。</w:t>
            </w:r>
          </w:p>
        </w:tc>
      </w:tr>
      <w:tr w14:paraId="0156900A">
        <w:trPr>
          <w:trHeight w:val="208" w:hRule="atLeast"/>
        </w:trPr>
        <w:tc>
          <w:tcPr>
            <w:tcW w:w="1020" w:type="dxa"/>
            <w:vMerge w:val="restart"/>
            <w:shd w:val="clear" w:color="auto" w:fill="auto"/>
            <w:vAlign w:val="top"/>
          </w:tcPr>
          <w:p w14:paraId="737E7052">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w:t>
            </w:r>
          </w:p>
        </w:tc>
        <w:tc>
          <w:tcPr>
            <w:tcW w:w="1215" w:type="dxa"/>
            <w:vMerge w:val="restart"/>
            <w:shd w:val="clear" w:color="auto" w:fill="auto"/>
            <w:vAlign w:val="top"/>
          </w:tcPr>
          <w:p w14:paraId="18FDA021">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2.2无菌原则</w:t>
            </w:r>
          </w:p>
        </w:tc>
        <w:tc>
          <w:tcPr>
            <w:tcW w:w="4847" w:type="dxa"/>
            <w:shd w:val="clear" w:color="auto" w:fill="auto"/>
            <w:vAlign w:val="top"/>
          </w:tcPr>
          <w:p w14:paraId="3083D722">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操作者换药前应更换干净衣物，换药过程中需全程佩戴口罩。</w:t>
            </w:r>
          </w:p>
        </w:tc>
      </w:tr>
      <w:tr w14:paraId="0BE9A826">
        <w:trPr>
          <w:trHeight w:val="208" w:hRule="atLeast"/>
        </w:trPr>
        <w:tc>
          <w:tcPr>
            <w:tcW w:w="1020" w:type="dxa"/>
            <w:vMerge w:val="continue"/>
            <w:shd w:val="clear" w:color="auto" w:fill="auto"/>
            <w:vAlign w:val="top"/>
          </w:tcPr>
          <w:p w14:paraId="349F4D8F">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4B5D68E5">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20519416">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应采用流动水+洗手液洗手；换药时若手部直接接触伤口时，需佩戴无菌手套。洗手时机：操作前中后、更换敷料、处理不同伤口前需重新更换手套或洗手。</w:t>
            </w:r>
          </w:p>
        </w:tc>
      </w:tr>
      <w:tr w14:paraId="328CF6BE">
        <w:trPr>
          <w:trHeight w:val="208" w:hRule="atLeast"/>
        </w:trPr>
        <w:tc>
          <w:tcPr>
            <w:tcW w:w="1020" w:type="dxa"/>
            <w:vMerge w:val="continue"/>
            <w:shd w:val="clear" w:color="auto" w:fill="auto"/>
            <w:vAlign w:val="top"/>
          </w:tcPr>
          <w:p w14:paraId="1FE937BB">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6B018C69">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4F791E4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使用工具时避免反复回触污染物品或皮肤表面。</w:t>
            </w:r>
          </w:p>
        </w:tc>
      </w:tr>
      <w:tr w14:paraId="56894EC6">
        <w:trPr>
          <w:trHeight w:val="208" w:hRule="atLeast"/>
        </w:trPr>
        <w:tc>
          <w:tcPr>
            <w:tcW w:w="1020" w:type="dxa"/>
            <w:vMerge w:val="continue"/>
            <w:shd w:val="clear" w:color="auto" w:fill="auto"/>
            <w:vAlign w:val="top"/>
          </w:tcPr>
          <w:p w14:paraId="34F351F3">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6D36DC14">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17606688">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伤口换药顺序：先清洁伤口后污染伤口。</w:t>
            </w:r>
          </w:p>
        </w:tc>
      </w:tr>
      <w:tr w14:paraId="534D38C8">
        <w:trPr>
          <w:trHeight w:val="208" w:hRule="atLeast"/>
        </w:trPr>
        <w:tc>
          <w:tcPr>
            <w:tcW w:w="1020" w:type="dxa"/>
            <w:vMerge w:val="restart"/>
            <w:shd w:val="clear" w:color="auto" w:fill="auto"/>
            <w:vAlign w:val="top"/>
          </w:tcPr>
          <w:p w14:paraId="2272C1C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线下指导、</w:t>
            </w:r>
          </w:p>
          <w:p w14:paraId="137C4EA8">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居家自评表</w:t>
            </w:r>
          </w:p>
          <w:p w14:paraId="681D77C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操作流程图</w:t>
            </w:r>
          </w:p>
          <w:p w14:paraId="3D7FFE85">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w:t>
            </w:r>
          </w:p>
          <w:p w14:paraId="7F3C9868">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线上答疑</w:t>
            </w:r>
          </w:p>
        </w:tc>
        <w:tc>
          <w:tcPr>
            <w:tcW w:w="1215" w:type="dxa"/>
            <w:vMerge w:val="restart"/>
            <w:shd w:val="clear" w:color="auto" w:fill="auto"/>
            <w:vAlign w:val="top"/>
          </w:tcPr>
          <w:p w14:paraId="3D87A42C">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2.3伤口评估</w:t>
            </w:r>
          </w:p>
        </w:tc>
        <w:tc>
          <w:tcPr>
            <w:tcW w:w="4847" w:type="dxa"/>
          </w:tcPr>
          <w:p w14:paraId="4194BC0F">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照护者应学会居家伤口评估方式。① 伤口床：能描述位置、大小、数量；能判断渗出液多少（少/中/多）、颜色（清亮/淡黄/血性/脓性）、气味（无味/异味/臭味）；能初步分辨坏死组织（黄/黑色）、健康肉芽（红润饱满）；能识别感染迹象（伤口扩大、红肿热痛、渗液明显增多伴脓性或恶臭，或伴随发热），并知晓需及时联系医生。</w:t>
            </w:r>
          </w:p>
        </w:tc>
      </w:tr>
      <w:tr w14:paraId="39E5FA92">
        <w:trPr>
          <w:trHeight w:val="208" w:hRule="atLeast"/>
        </w:trPr>
        <w:tc>
          <w:tcPr>
            <w:tcW w:w="1020" w:type="dxa"/>
            <w:vMerge w:val="continue"/>
            <w:shd w:val="clear" w:color="auto" w:fill="auto"/>
            <w:vAlign w:val="top"/>
          </w:tcPr>
          <w:p w14:paraId="55E454D7">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33B081D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tcPr>
          <w:p w14:paraId="498EC11C">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② 伤口边缘：能识别是否平整连接、卷曲（提示愈合停滞）、浸渍（皮肤发白、变软，常因渗液过多或敷料不当）、是否有新生皮肤覆盖。</w:t>
            </w:r>
          </w:p>
        </w:tc>
      </w:tr>
      <w:tr w14:paraId="25D6755D">
        <w:trPr>
          <w:trHeight w:val="208" w:hRule="atLeast"/>
        </w:trPr>
        <w:tc>
          <w:tcPr>
            <w:tcW w:w="1020" w:type="dxa"/>
            <w:vMerge w:val="continue"/>
            <w:shd w:val="clear" w:color="auto" w:fill="auto"/>
            <w:vAlign w:val="top"/>
          </w:tcPr>
          <w:p w14:paraId="6B2ED13E">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568B5859">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tcPr>
          <w:p w14:paraId="06458938">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default" w:ascii="宋体" w:hAnsi="宋体" w:eastAsia="宋体" w:cs="宋体"/>
                <w:b w:val="0"/>
                <w:bCs w:val="0"/>
                <w:kern w:val="2"/>
                <w:sz w:val="20"/>
                <w:szCs w:val="20"/>
                <w:vertAlign w:val="baseline"/>
                <w:lang w:val="en-US" w:eastAsia="zh-CN" w:bidi="ar-SA"/>
              </w:rPr>
              <w:t>③ 周围皮肤：能观察是否完整，有无发红、发热、水肿；能识别湿疹、皮炎、干燥或破损，并采取保护措施（如润肤/调整敷料）。</w:t>
            </w:r>
          </w:p>
        </w:tc>
      </w:tr>
      <w:tr w14:paraId="30DE039F">
        <w:trPr>
          <w:trHeight w:val="312" w:hRule="atLeast"/>
        </w:trPr>
        <w:tc>
          <w:tcPr>
            <w:tcW w:w="1020" w:type="dxa"/>
            <w:vMerge w:val="restart"/>
            <w:shd w:val="clear" w:color="auto" w:fill="auto"/>
            <w:vAlign w:val="top"/>
          </w:tcPr>
          <w:p w14:paraId="04B815D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w:t>
            </w:r>
          </w:p>
          <w:p w14:paraId="12F1A0A4">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p w14:paraId="0D7FAE68">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p>
        </w:tc>
        <w:tc>
          <w:tcPr>
            <w:tcW w:w="1215" w:type="dxa"/>
            <w:vMerge w:val="restart"/>
            <w:shd w:val="clear" w:color="auto" w:fill="auto"/>
            <w:vAlign w:val="top"/>
          </w:tcPr>
          <w:p w14:paraId="352CBCFE">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2.4清洁与清创</w:t>
            </w:r>
          </w:p>
        </w:tc>
        <w:tc>
          <w:tcPr>
            <w:tcW w:w="4847" w:type="dxa"/>
            <w:vAlign w:val="top"/>
          </w:tcPr>
          <w:p w14:paraId="38595A1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照护者应使用低毒性温热溶液如生理盐水、无菌注射水、生理盐水加液体石蜡等，脉冲式（冲一下，停一下）清洗伤口，避免使用刺激性溶液如碘伏等。</w:t>
            </w:r>
          </w:p>
        </w:tc>
      </w:tr>
      <w:tr w14:paraId="69CE838D">
        <w:trPr>
          <w:trHeight w:val="312" w:hRule="atLeast"/>
        </w:trPr>
        <w:tc>
          <w:tcPr>
            <w:tcW w:w="1020" w:type="dxa"/>
            <w:vMerge w:val="continue"/>
            <w:shd w:val="clear" w:color="auto" w:fill="auto"/>
            <w:vAlign w:val="top"/>
          </w:tcPr>
          <w:p w14:paraId="1B947949">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3D3B108E">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vAlign w:val="top"/>
          </w:tcPr>
          <w:p w14:paraId="4B608DB7">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经照护者评估后无感染的伤口可直接使用生理盐水等进行清洁，严重细菌定植的伤口或感染的伤口需在医护人员指导下使用含有PHMB（聚六甲基双胍）的清洗溶液对伤口进行湿敷后再处理。含有PHMB的清洗溶液不适用于新生儿。</w:t>
            </w:r>
          </w:p>
        </w:tc>
      </w:tr>
      <w:tr w14:paraId="1B868C1B">
        <w:trPr>
          <w:trHeight w:val="312" w:hRule="atLeast"/>
        </w:trPr>
        <w:tc>
          <w:tcPr>
            <w:tcW w:w="1020" w:type="dxa"/>
            <w:vMerge w:val="continue"/>
            <w:shd w:val="clear" w:color="auto" w:fill="auto"/>
            <w:vAlign w:val="top"/>
          </w:tcPr>
          <w:p w14:paraId="4E9EBD69">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22D74992">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vAlign w:val="top"/>
          </w:tcPr>
          <w:p w14:paraId="77B34FD4">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当结痂或腐肉影响愈合或敷料贴合时，照护者应在医护人员指导下使用水凝胶敷料或厚涂保湿霜封包软化，次日轻轻去除；</w:t>
            </w:r>
          </w:p>
        </w:tc>
      </w:tr>
      <w:tr w14:paraId="487A25AA">
        <w:trPr>
          <w:trHeight w:val="312" w:hRule="atLeast"/>
        </w:trPr>
        <w:tc>
          <w:tcPr>
            <w:tcW w:w="1020" w:type="dxa"/>
            <w:vMerge w:val="restart"/>
            <w:shd w:val="clear" w:color="auto" w:fill="auto"/>
            <w:vAlign w:val="top"/>
          </w:tcPr>
          <w:p w14:paraId="0BA08896">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操作指导</w:t>
            </w:r>
          </w:p>
          <w:p w14:paraId="48C58C38">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w:t>
            </w:r>
          </w:p>
          <w:p w14:paraId="511F92E9">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操作示范视频</w:t>
            </w:r>
          </w:p>
          <w:p w14:paraId="3D873D9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线上答疑</w:t>
            </w:r>
          </w:p>
        </w:tc>
        <w:tc>
          <w:tcPr>
            <w:tcW w:w="1215" w:type="dxa"/>
            <w:vMerge w:val="restart"/>
            <w:shd w:val="clear" w:color="auto" w:fill="auto"/>
            <w:vAlign w:val="top"/>
          </w:tcPr>
          <w:p w14:paraId="78CF386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2.5水疱处理</w:t>
            </w:r>
          </w:p>
        </w:tc>
        <w:tc>
          <w:tcPr>
            <w:tcW w:w="4847" w:type="dxa"/>
            <w:shd w:val="clear" w:color="auto" w:fill="auto"/>
            <w:vAlign w:val="top"/>
          </w:tcPr>
          <w:p w14:paraId="16BF4C3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照护者应掌握如何处理不同水疱的方式：针对疱壁紧张的水疱可采用从最低点用无菌针头贯穿刺破水疱保留水疱表皮覆盖以保护创面；</w:t>
            </w:r>
          </w:p>
        </w:tc>
      </w:tr>
      <w:tr w14:paraId="4F658FD5">
        <w:trPr>
          <w:trHeight w:val="312" w:hRule="atLeast"/>
        </w:trPr>
        <w:tc>
          <w:tcPr>
            <w:tcW w:w="1020" w:type="dxa"/>
            <w:vMerge w:val="continue"/>
            <w:shd w:val="clear" w:color="auto" w:fill="auto"/>
            <w:vAlign w:val="top"/>
          </w:tcPr>
          <w:p w14:paraId="49236A8C">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2D9123A2">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1BE162A1">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针对松弛性水疱可使用棉签将疱液轻轻推至水疱最低点用无菌针头贯刺破水疱保留水疱表皮覆盖以保护创面。</w:t>
            </w:r>
          </w:p>
        </w:tc>
      </w:tr>
      <w:tr w14:paraId="51BD4CAE">
        <w:trPr>
          <w:trHeight w:val="312" w:hRule="atLeast"/>
        </w:trPr>
        <w:tc>
          <w:tcPr>
            <w:tcW w:w="1020" w:type="dxa"/>
            <w:vMerge w:val="continue"/>
            <w:shd w:val="clear" w:color="auto" w:fill="auto"/>
            <w:vAlign w:val="top"/>
          </w:tcPr>
          <w:p w14:paraId="46467F8C">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7489A7E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5B03D4E4">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 对于大水疱可使用无菌针头十字对穿、多处刺破或使用无菌剪刀剪出较大孔洞后纱布按压或注射器抽吸排空疱液，可略微加压包扎，及时观察是否再次产生水疱。</w:t>
            </w:r>
          </w:p>
        </w:tc>
      </w:tr>
      <w:tr w14:paraId="67C01E65">
        <w:trPr>
          <w:trHeight w:val="419" w:hRule="atLeast"/>
        </w:trPr>
        <w:tc>
          <w:tcPr>
            <w:tcW w:w="1020" w:type="dxa"/>
            <w:vMerge w:val="restart"/>
            <w:shd w:val="clear" w:color="auto" w:fill="auto"/>
            <w:vAlign w:val="top"/>
          </w:tcPr>
          <w:p w14:paraId="345DF438">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操作指导</w:t>
            </w:r>
          </w:p>
          <w:p w14:paraId="2CCB5B81">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w:t>
            </w:r>
          </w:p>
          <w:p w14:paraId="0FB62FCC">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操作示范视频</w:t>
            </w:r>
          </w:p>
          <w:p w14:paraId="7F134E9B">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线上答疑</w:t>
            </w:r>
          </w:p>
        </w:tc>
        <w:tc>
          <w:tcPr>
            <w:tcW w:w="1215" w:type="dxa"/>
            <w:vMerge w:val="restart"/>
            <w:shd w:val="clear" w:color="auto" w:fill="auto"/>
            <w:vAlign w:val="top"/>
          </w:tcPr>
          <w:p w14:paraId="737A2F96">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2.6敷料选择与使用</w:t>
            </w:r>
          </w:p>
        </w:tc>
        <w:tc>
          <w:tcPr>
            <w:tcW w:w="4847" w:type="dxa"/>
            <w:vAlign w:val="top"/>
          </w:tcPr>
          <w:p w14:paraId="489CCE99">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掌握敷料选择方式：对直接接触伤口的敷料应选择柔软、非粘性、透气及吸收渗液能力强的敷料，如硅胶泡沫敷料、凡士林油纱、银离子敷料等，避免暴露伤口导致伤口粘连于衣被。</w:t>
            </w:r>
          </w:p>
        </w:tc>
      </w:tr>
      <w:tr w14:paraId="6F1AC8B5">
        <w:trPr>
          <w:trHeight w:val="419" w:hRule="atLeast"/>
        </w:trPr>
        <w:tc>
          <w:tcPr>
            <w:tcW w:w="1020" w:type="dxa"/>
            <w:vMerge w:val="continue"/>
            <w:shd w:val="clear" w:color="auto" w:fill="auto"/>
            <w:vAlign w:val="top"/>
          </w:tcPr>
          <w:p w14:paraId="45B09655">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3EFB854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vAlign w:val="top"/>
          </w:tcPr>
          <w:p w14:paraId="4F66BFF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敷料应根据伤口大小和身体部位进行选择，提前裁剪至合适形状，一般大于伤口边缘1-2cm。</w:t>
            </w:r>
          </w:p>
        </w:tc>
      </w:tr>
      <w:tr w14:paraId="575AD440">
        <w:trPr>
          <w:trHeight w:val="419" w:hRule="atLeast"/>
        </w:trPr>
        <w:tc>
          <w:tcPr>
            <w:tcW w:w="1020" w:type="dxa"/>
            <w:vMerge w:val="continue"/>
            <w:shd w:val="clear" w:color="auto" w:fill="auto"/>
            <w:vAlign w:val="top"/>
          </w:tcPr>
          <w:p w14:paraId="1E4A87F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6C30103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vAlign w:val="top"/>
          </w:tcPr>
          <w:p w14:paraId="57B07922">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确保敷料无褶皱，若连接处或边缘摩擦，可采用叠瓦片或亲水纤维敷料保护，避免敷料边缘引发新的水疱。</w:t>
            </w:r>
          </w:p>
        </w:tc>
      </w:tr>
      <w:tr w14:paraId="62AA05CB">
        <w:trPr>
          <w:trHeight w:val="312" w:hRule="atLeast"/>
        </w:trPr>
        <w:tc>
          <w:tcPr>
            <w:tcW w:w="1020" w:type="dxa"/>
            <w:vMerge w:val="restart"/>
            <w:shd w:val="clear" w:color="auto" w:fill="auto"/>
            <w:vAlign w:val="top"/>
          </w:tcPr>
          <w:p w14:paraId="7B844015">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操作指导</w:t>
            </w:r>
          </w:p>
          <w:p w14:paraId="452DD533">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w:t>
            </w:r>
          </w:p>
          <w:p w14:paraId="76EC8E89">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操作示范视频</w:t>
            </w:r>
          </w:p>
          <w:p w14:paraId="511FA96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线上答疑</w:t>
            </w:r>
          </w:p>
        </w:tc>
        <w:tc>
          <w:tcPr>
            <w:tcW w:w="1215" w:type="dxa"/>
            <w:vMerge w:val="restart"/>
            <w:shd w:val="clear" w:color="auto" w:fill="auto"/>
            <w:vAlign w:val="top"/>
          </w:tcPr>
          <w:p w14:paraId="6C1B0F62">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2.7伤口包扎</w:t>
            </w:r>
          </w:p>
        </w:tc>
        <w:tc>
          <w:tcPr>
            <w:tcW w:w="4847" w:type="dxa"/>
            <w:shd w:val="clear" w:color="auto" w:fill="auto"/>
            <w:vAlign w:val="top"/>
          </w:tcPr>
          <w:p w14:paraId="7B4CD2B3">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根据不同伤口选择合适包扎方式：包扎前应使用不粘敷料覆盖伤口及水疱处，完整的皮肤表面应涂抹油性润肤剂保护皮肤，后使用弹力绷带进行固定，固定不宜过紧或过松，避免敷料移位牵拉皮肤，切勿直接使用胶带黏连皮肤，以可以自由活动为标准。</w:t>
            </w:r>
          </w:p>
        </w:tc>
      </w:tr>
      <w:tr w14:paraId="4623A091">
        <w:trPr>
          <w:trHeight w:val="312" w:hRule="atLeast"/>
        </w:trPr>
        <w:tc>
          <w:tcPr>
            <w:tcW w:w="1020" w:type="dxa"/>
            <w:vMerge w:val="continue"/>
            <w:shd w:val="clear" w:color="auto" w:fill="auto"/>
            <w:vAlign w:val="top"/>
          </w:tcPr>
          <w:p w14:paraId="49752EE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7AE2B15B">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550D4C12">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包扎后应检查是否压迫皮肤，及时观察皮肤颜色和末梢循环，特别注意检查边缘区域是否红肿、形成水疱。</w:t>
            </w:r>
          </w:p>
        </w:tc>
      </w:tr>
      <w:tr w14:paraId="19EC7CF5">
        <w:trPr>
          <w:trHeight w:val="1265" w:hRule="atLeast"/>
        </w:trPr>
        <w:tc>
          <w:tcPr>
            <w:tcW w:w="1020" w:type="dxa"/>
            <w:vMerge w:val="restart"/>
            <w:shd w:val="clear" w:color="auto" w:fill="auto"/>
            <w:vAlign w:val="top"/>
          </w:tcPr>
          <w:p w14:paraId="3BF69402">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操作指导</w:t>
            </w:r>
          </w:p>
          <w:p w14:paraId="01A2E4CE">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w:t>
            </w:r>
          </w:p>
          <w:p w14:paraId="219F6FC2">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操作示范视频</w:t>
            </w:r>
          </w:p>
          <w:p w14:paraId="66226BD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线上答疑</w:t>
            </w:r>
          </w:p>
        </w:tc>
        <w:tc>
          <w:tcPr>
            <w:tcW w:w="1215" w:type="dxa"/>
            <w:vMerge w:val="restart"/>
            <w:shd w:val="clear" w:color="auto" w:fill="auto"/>
            <w:vAlign w:val="top"/>
          </w:tcPr>
          <w:p w14:paraId="077609A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2.8感染伤口处理</w:t>
            </w:r>
          </w:p>
        </w:tc>
        <w:tc>
          <w:tcPr>
            <w:tcW w:w="4847" w:type="dxa"/>
            <w:shd w:val="clear" w:color="auto" w:fill="auto"/>
            <w:vAlign w:val="top"/>
          </w:tcPr>
          <w:p w14:paraId="78D2CFE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NERDS 标准初步识别：照护者学会根据 NERDS 五条标准进行判断（① 不愈合、②渗出增多、③红色脆弱肉芽、④腐肉/假膜、⑤异常气味），当 ≥3 条时提示可能细菌过度定植。处理方式：出现以上情况时，照护者需及时联系医护人员，并在医嘱下采取措施：① 使用低浓度次氯酸钠清洁伤口；② 外用抗菌剂（氯己定、苯扎氯铵等）；③ 外用抗生素（如莫匹罗星）；④ 抗菌敷料（如含银敷料，使用时间一般不超过 2–4 周）。动态观察：照护者在换药后 3–5 日内需观察伤口变化，如渗液、气味或面积持续加重，应立即复诊。</w:t>
            </w:r>
          </w:p>
        </w:tc>
      </w:tr>
      <w:tr w14:paraId="318562A9">
        <w:trPr>
          <w:trHeight w:val="1265" w:hRule="atLeast"/>
        </w:trPr>
        <w:tc>
          <w:tcPr>
            <w:tcW w:w="1020" w:type="dxa"/>
            <w:vMerge w:val="continue"/>
            <w:shd w:val="clear" w:color="auto" w:fill="auto"/>
            <w:vAlign w:val="top"/>
          </w:tcPr>
          <w:p w14:paraId="417F4CA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006E4AF5">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2093106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STONEES 标准初步识别：当伤口出现以下 ≥3 条时，提示可能已累及深部组织：① 伤口面积明显扩大；② 局部温度升高/伴发热；③ 伤口可见骨组织或疑似骨暴露；④ 伤口边缘出现新的破损；⑤ 出现脓性渗液；⑥ 出现明显恶臭。处理方式：如出现上述情况，照护者应立即停止换药，联系专业医务人员进行评估，不可自行继续操作。药物使用：在医嘱下可短期使用外用抗生素（如莫匹罗星、夫西地酸），但应避免长期单一使用；若需连续使用超过 2–6 周，应轮换药物并咨询医生。</w:t>
            </w:r>
          </w:p>
        </w:tc>
      </w:tr>
      <w:tr w14:paraId="26419F93">
        <w:trPr>
          <w:trHeight w:val="1265" w:hRule="atLeast"/>
        </w:trPr>
        <w:tc>
          <w:tcPr>
            <w:tcW w:w="1020" w:type="dxa"/>
            <w:vMerge w:val="continue"/>
            <w:shd w:val="clear" w:color="auto" w:fill="auto"/>
            <w:vAlign w:val="top"/>
          </w:tcPr>
          <w:p w14:paraId="649487F8">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708CE335">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46FF4191">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鳞状细胞癌（重型 EB 患儿高风险）：照护者学会警惕以下伤口表现：① 不愈合时间超过 4 周以上；② 伤口迅速增大或出现异常鼓起，类似“过度生长的肉芽”；③ 与常见 EB 伤口相比，疼痛或刺痛感明显加重。处理方式：一旦发现，应立即停止换药并联系专业医务人员，必要时转诊，避免延误诊治。</w:t>
            </w:r>
          </w:p>
        </w:tc>
      </w:tr>
      <w:tr w14:paraId="26A133DB">
        <w:tc>
          <w:tcPr>
            <w:tcW w:w="7082" w:type="dxa"/>
            <w:gridSpan w:val="3"/>
            <w:shd w:val="clear" w:color="auto" w:fill="auto"/>
            <w:vAlign w:val="top"/>
          </w:tcPr>
          <w:p w14:paraId="16DDE06F">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3.特殊部位护理</w:t>
            </w:r>
          </w:p>
        </w:tc>
      </w:tr>
      <w:tr w14:paraId="452071C0">
        <w:tc>
          <w:tcPr>
            <w:tcW w:w="1020" w:type="dxa"/>
            <w:vMerge w:val="restart"/>
            <w:shd w:val="clear" w:color="auto" w:fill="auto"/>
            <w:vAlign w:val="top"/>
          </w:tcPr>
          <w:p w14:paraId="68F8F062">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w:t>
            </w:r>
          </w:p>
          <w:p w14:paraId="73228CA7">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讲座</w:t>
            </w:r>
          </w:p>
          <w:p w14:paraId="722B885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线上答疑</w:t>
            </w:r>
          </w:p>
        </w:tc>
        <w:tc>
          <w:tcPr>
            <w:tcW w:w="1215" w:type="dxa"/>
            <w:vMerge w:val="restart"/>
            <w:shd w:val="clear" w:color="auto" w:fill="auto"/>
            <w:vAlign w:val="top"/>
          </w:tcPr>
          <w:p w14:paraId="1951E3D4">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3.1眼部护理</w:t>
            </w:r>
          </w:p>
        </w:tc>
        <w:tc>
          <w:tcPr>
            <w:tcW w:w="4847" w:type="dxa"/>
            <w:shd w:val="clear" w:color="auto" w:fill="auto"/>
            <w:vAlign w:val="top"/>
          </w:tcPr>
          <w:p w14:paraId="03DCA6C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照护者应学会如何判断眼部情况：对于结膜刺激症状，遵医嘱使用不含防腐剂及药物的滴眼液或眼药膏来减少摩擦造成的角膜损伤，避免自行用药；</w:t>
            </w:r>
          </w:p>
        </w:tc>
      </w:tr>
      <w:tr w14:paraId="70A1E7C4">
        <w:tc>
          <w:tcPr>
            <w:tcW w:w="1020" w:type="dxa"/>
            <w:vMerge w:val="continue"/>
            <w:shd w:val="clear" w:color="auto" w:fill="auto"/>
            <w:vAlign w:val="top"/>
          </w:tcPr>
          <w:p w14:paraId="06AF8F3E">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60E59A11">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14DEA59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眼部经常疼痛的患儿可在评估后使用绷带镜；</w:t>
            </w:r>
          </w:p>
        </w:tc>
      </w:tr>
      <w:tr w14:paraId="5CCC0B45">
        <w:trPr>
          <w:trHeight w:val="694" w:hRule="atLeast"/>
        </w:trPr>
        <w:tc>
          <w:tcPr>
            <w:tcW w:w="1020" w:type="dxa"/>
            <w:vMerge w:val="continue"/>
            <w:shd w:val="clear" w:color="auto" w:fill="auto"/>
            <w:vAlign w:val="top"/>
          </w:tcPr>
          <w:p w14:paraId="0F185DEC">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7BE3B7F8">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09BA54C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眼睑外翻的患者睡前可使用无菌凡士林油砂或遵医嘱使用抗生素眼膏保护眼睑。</w:t>
            </w:r>
          </w:p>
        </w:tc>
      </w:tr>
      <w:tr w14:paraId="48858B74">
        <w:tc>
          <w:tcPr>
            <w:tcW w:w="1020" w:type="dxa"/>
            <w:vMerge w:val="restart"/>
            <w:shd w:val="clear" w:color="auto" w:fill="auto"/>
            <w:vAlign w:val="top"/>
          </w:tcPr>
          <w:p w14:paraId="73866916">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w:t>
            </w:r>
          </w:p>
          <w:p w14:paraId="5FB142D3">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讲座</w:t>
            </w:r>
          </w:p>
          <w:p w14:paraId="0E13DA6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线上答疑</w:t>
            </w:r>
          </w:p>
          <w:p w14:paraId="62312FE9">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restart"/>
            <w:shd w:val="clear" w:color="auto" w:fill="auto"/>
            <w:vAlign w:val="top"/>
          </w:tcPr>
          <w:p w14:paraId="0018EC5E">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3.2口腔护理</w:t>
            </w:r>
          </w:p>
        </w:tc>
        <w:tc>
          <w:tcPr>
            <w:tcW w:w="4847" w:type="dxa"/>
            <w:shd w:val="clear" w:color="auto" w:fill="auto"/>
            <w:vAlign w:val="top"/>
          </w:tcPr>
          <w:p w14:paraId="51DCE9CC">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照护者应学会口腔护理措施：每日应使用柔软的小牙刷以及含氟牙膏轻轻刷牙，用生理盐水轻柔的漱口；在进食甜食后漱口，避免过早出现龋齿，定期口腔科随访。</w:t>
            </w:r>
          </w:p>
        </w:tc>
      </w:tr>
      <w:tr w14:paraId="750C1830">
        <w:tc>
          <w:tcPr>
            <w:tcW w:w="1020" w:type="dxa"/>
            <w:vMerge w:val="continue"/>
            <w:shd w:val="clear" w:color="auto" w:fill="auto"/>
            <w:vAlign w:val="top"/>
          </w:tcPr>
          <w:p w14:paraId="16D90BA3">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23003DF6">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7D20D88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重度EB患儿应避免使用吸管；</w:t>
            </w:r>
          </w:p>
        </w:tc>
      </w:tr>
      <w:tr w14:paraId="7C8DD052">
        <w:tc>
          <w:tcPr>
            <w:tcW w:w="1020" w:type="dxa"/>
            <w:vMerge w:val="continue"/>
            <w:shd w:val="clear" w:color="auto" w:fill="auto"/>
            <w:vAlign w:val="top"/>
          </w:tcPr>
          <w:p w14:paraId="05C60409">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34B4EEBC">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5B02977B">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需要喂奶的患儿，喂养时使用长而软的奶嘴、将普通奶嘴剪大或使用腭裂儿童专用喂奶器进行喂奶；使用前将奶嘴放入温水中软化，母乳喂养时在乳头及婴儿的脸颊上涂抹润肤霜，若口腔周围有水疱或伤口时则限制使用。</w:t>
            </w:r>
          </w:p>
        </w:tc>
      </w:tr>
      <w:tr w14:paraId="5E13BFD3">
        <w:tc>
          <w:tcPr>
            <w:tcW w:w="1020" w:type="dxa"/>
            <w:vMerge w:val="restart"/>
          </w:tcPr>
          <w:p w14:paraId="576B88D4">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w:t>
            </w:r>
          </w:p>
          <w:p w14:paraId="3DE07756">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讲座</w:t>
            </w:r>
          </w:p>
          <w:p w14:paraId="3196AB88">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操作视频</w:t>
            </w:r>
          </w:p>
          <w:p w14:paraId="036D2D55">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线上答疑</w:t>
            </w:r>
          </w:p>
          <w:p w14:paraId="5424BE8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restart"/>
            <w:shd w:val="clear" w:color="auto" w:fill="auto"/>
            <w:vAlign w:val="top"/>
          </w:tcPr>
          <w:p w14:paraId="2D4D5024">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3.3手足部护理</w:t>
            </w:r>
          </w:p>
        </w:tc>
        <w:tc>
          <w:tcPr>
            <w:tcW w:w="4847" w:type="dxa"/>
            <w:shd w:val="clear" w:color="auto" w:fill="auto"/>
            <w:vAlign w:val="top"/>
          </w:tcPr>
          <w:p w14:paraId="1A43F739">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照护者应学会手足部护理措施：至少每年测量一次足部大小，婴幼儿因生长发育过快，应增加测量次数。</w:t>
            </w:r>
          </w:p>
        </w:tc>
      </w:tr>
      <w:tr w14:paraId="205BBB0C">
        <w:tc>
          <w:tcPr>
            <w:tcW w:w="1020" w:type="dxa"/>
            <w:vMerge w:val="continue"/>
            <w:shd w:val="clear" w:color="auto" w:fill="auto"/>
            <w:vAlign w:val="top"/>
          </w:tcPr>
          <w:p w14:paraId="3EA84669">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4313DC25">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59598F15">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对于中度或重度RDEB患者，及手部反复水疱瘢痕形成的患儿早期使用分指手套预防手指粘连，或使用软硅胶泡沫、浸有石蜡的纱布，将其切成条状进行手指分离。</w:t>
            </w:r>
          </w:p>
        </w:tc>
      </w:tr>
      <w:tr w14:paraId="62302ACB">
        <w:tc>
          <w:tcPr>
            <w:tcW w:w="1020" w:type="dxa"/>
            <w:vMerge w:val="continue"/>
          </w:tcPr>
          <w:p w14:paraId="16ACE5CE">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tcPr>
          <w:p w14:paraId="157BCBF6">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5FC48CD4">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指趾甲增生的患儿可使用加温盐水泡软指甲后使用指甲锉挫表面，有厚指甲儿童每周一次。</w:t>
            </w:r>
          </w:p>
        </w:tc>
      </w:tr>
      <w:tr w14:paraId="42A39496">
        <w:trPr>
          <w:trHeight w:val="842" w:hRule="atLeast"/>
        </w:trPr>
        <w:tc>
          <w:tcPr>
            <w:tcW w:w="1020" w:type="dxa"/>
            <w:vMerge w:val="continue"/>
          </w:tcPr>
          <w:p w14:paraId="545A8051">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restart"/>
            <w:shd w:val="clear" w:color="auto" w:fill="auto"/>
            <w:vAlign w:val="top"/>
          </w:tcPr>
          <w:p w14:paraId="4897AC5F">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3.4 头面部和颈部伤口护理</w:t>
            </w:r>
          </w:p>
        </w:tc>
        <w:tc>
          <w:tcPr>
            <w:tcW w:w="4847" w:type="dxa"/>
            <w:shd w:val="clear" w:color="auto" w:fill="auto"/>
            <w:vAlign w:val="top"/>
          </w:tcPr>
          <w:p w14:paraId="4458CAC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照护者应学会头面部护理措施：面部未感染的伤口，可采用暴露方法，或直接贴薄型美皮康，避免使用粘性胶带固定。注意面部伤口包扎的美观程度；</w:t>
            </w:r>
          </w:p>
        </w:tc>
      </w:tr>
      <w:tr w14:paraId="295924B2">
        <w:trPr>
          <w:trHeight w:val="409" w:hRule="atLeast"/>
        </w:trPr>
        <w:tc>
          <w:tcPr>
            <w:tcW w:w="1020" w:type="dxa"/>
            <w:vMerge w:val="continue"/>
          </w:tcPr>
          <w:p w14:paraId="18C25025">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5951B2CC">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358EB17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耳后皮肤易损伤，可使用敷料防止侧卧时耳朵受压破损；</w:t>
            </w:r>
          </w:p>
        </w:tc>
      </w:tr>
      <w:tr w14:paraId="3251830D">
        <w:trPr>
          <w:trHeight w:val="669" w:hRule="atLeast"/>
        </w:trPr>
        <w:tc>
          <w:tcPr>
            <w:tcW w:w="1020" w:type="dxa"/>
            <w:vMerge w:val="continue"/>
          </w:tcPr>
          <w:p w14:paraId="325043F9">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5E4F274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06BC7072">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颈部包扎时注意松紧度，避免过紧压迫气管，也可使用定制高领弹力网衣进行固定。</w:t>
            </w:r>
          </w:p>
        </w:tc>
      </w:tr>
      <w:tr w14:paraId="44431B46">
        <w:trPr>
          <w:trHeight w:val="312" w:hRule="atLeast"/>
        </w:trPr>
        <w:tc>
          <w:tcPr>
            <w:tcW w:w="1020" w:type="dxa"/>
            <w:vMerge w:val="continue"/>
            <w:shd w:val="clear" w:color="auto" w:fill="auto"/>
            <w:vAlign w:val="top"/>
          </w:tcPr>
          <w:p w14:paraId="3AD0578F">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restart"/>
            <w:shd w:val="clear" w:color="auto" w:fill="auto"/>
            <w:vAlign w:val="top"/>
          </w:tcPr>
          <w:p w14:paraId="5112027C">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3.5 肩部和腋下伤口护理</w:t>
            </w:r>
          </w:p>
        </w:tc>
        <w:tc>
          <w:tcPr>
            <w:tcW w:w="4847" w:type="dxa"/>
            <w:shd w:val="clear" w:color="auto" w:fill="auto"/>
            <w:vAlign w:val="top"/>
          </w:tcPr>
          <w:p w14:paraId="217383AF">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照护者应学会肩部护理措施：应避免侧睡，如需侧睡可使用加厚海绵床垫，避免长时间压迫肩部</w:t>
            </w:r>
          </w:p>
        </w:tc>
      </w:tr>
      <w:tr w14:paraId="1806DEB3">
        <w:trPr>
          <w:trHeight w:val="312" w:hRule="atLeast"/>
        </w:trPr>
        <w:tc>
          <w:tcPr>
            <w:tcW w:w="1020" w:type="dxa"/>
            <w:vMerge w:val="continue"/>
            <w:shd w:val="clear" w:color="auto" w:fill="auto"/>
            <w:vAlign w:val="top"/>
          </w:tcPr>
          <w:p w14:paraId="3F39538F">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47D2C36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4FA724E6">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注意保持腋下的清洁，固定时可采用“桥式”贴法将敷料固定于胸壁或背部，非直接跨过腋窝顶端。</w:t>
            </w:r>
          </w:p>
        </w:tc>
      </w:tr>
      <w:tr w14:paraId="78E3BDB6">
        <w:trPr>
          <w:trHeight w:val="660" w:hRule="atLeast"/>
        </w:trPr>
        <w:tc>
          <w:tcPr>
            <w:tcW w:w="1020" w:type="dxa"/>
            <w:vMerge w:val="continue"/>
            <w:shd w:val="clear" w:color="auto" w:fill="auto"/>
            <w:vAlign w:val="top"/>
          </w:tcPr>
          <w:p w14:paraId="4725E197">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p>
        </w:tc>
        <w:tc>
          <w:tcPr>
            <w:tcW w:w="1215" w:type="dxa"/>
            <w:vMerge w:val="restart"/>
            <w:shd w:val="clear" w:color="auto" w:fill="auto"/>
            <w:vAlign w:val="top"/>
          </w:tcPr>
          <w:p w14:paraId="3114A18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3.6肛周及会阴部护理</w:t>
            </w:r>
          </w:p>
          <w:p w14:paraId="74AEC5B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6EB35E2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照护者应学会肛周护理措施：尿布区域糜烂的皮肤可通过大量涂抹凡士林与液体石蜡的等比例混合物或使用专门的非粘连性敷料保护。</w:t>
            </w:r>
          </w:p>
        </w:tc>
      </w:tr>
      <w:tr w14:paraId="7BE461B8">
        <w:tc>
          <w:tcPr>
            <w:tcW w:w="1020" w:type="dxa"/>
            <w:vMerge w:val="continue"/>
            <w:shd w:val="clear" w:color="auto" w:fill="auto"/>
            <w:vAlign w:val="top"/>
          </w:tcPr>
          <w:p w14:paraId="5216AEC7">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5098856C">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395B276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对于肛周及会阴部的皮肤要做好清洁消毒，或在肛周使用液体石蜡等润滑剂，减少排便时的疼痛及水疱的产生。</w:t>
            </w:r>
          </w:p>
        </w:tc>
      </w:tr>
      <w:tr w14:paraId="515F7E3D">
        <w:tc>
          <w:tcPr>
            <w:tcW w:w="1020" w:type="dxa"/>
            <w:vMerge w:val="continue"/>
          </w:tcPr>
          <w:p w14:paraId="475899D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tcPr>
          <w:p w14:paraId="2263C14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356A884B">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交界型</w:t>
            </w:r>
            <w:r>
              <w:rPr>
                <w:rFonts w:hint="default" w:ascii="宋体" w:hAnsi="宋体" w:eastAsia="宋体" w:cs="宋体"/>
                <w:b w:val="0"/>
                <w:bCs w:val="0"/>
                <w:kern w:val="2"/>
                <w:sz w:val="20"/>
                <w:szCs w:val="20"/>
                <w:vertAlign w:val="baseline"/>
                <w:lang w:val="en-US" w:eastAsia="zh-CN" w:bidi="ar-SA"/>
              </w:rPr>
              <w:t>EB</w:t>
            </w:r>
            <w:r>
              <w:rPr>
                <w:rFonts w:hint="eastAsia" w:ascii="宋体" w:hAnsi="宋体" w:eastAsia="宋体" w:cs="宋体"/>
                <w:b w:val="0"/>
                <w:bCs w:val="0"/>
                <w:kern w:val="2"/>
                <w:sz w:val="20"/>
                <w:szCs w:val="20"/>
                <w:vertAlign w:val="baseline"/>
                <w:lang w:val="en-US" w:eastAsia="zh-CN" w:bidi="ar-SA"/>
              </w:rPr>
              <w:t>患儿尿布区域易发生过度肉芽肿，可通过遵医嘱使用局部类固醇软膏进行涂抹。</w:t>
            </w:r>
          </w:p>
        </w:tc>
      </w:tr>
      <w:tr w14:paraId="46A69342">
        <w:tc>
          <w:tcPr>
            <w:tcW w:w="7082" w:type="dxa"/>
            <w:gridSpan w:val="3"/>
            <w:shd w:val="clear" w:color="auto" w:fill="auto"/>
            <w:vAlign w:val="top"/>
          </w:tcPr>
          <w:p w14:paraId="191F0E5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4.疼痛护理</w:t>
            </w:r>
          </w:p>
        </w:tc>
      </w:tr>
      <w:tr w14:paraId="49A27829">
        <w:tc>
          <w:tcPr>
            <w:tcW w:w="1020" w:type="dxa"/>
            <w:vMerge w:val="restart"/>
            <w:shd w:val="clear" w:color="auto" w:fill="auto"/>
            <w:vAlign w:val="top"/>
          </w:tcPr>
          <w:p w14:paraId="4B3F8D06">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w:t>
            </w:r>
          </w:p>
          <w:p w14:paraId="46CF551B">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操作指导</w:t>
            </w:r>
          </w:p>
          <w:p w14:paraId="0CACA5C4">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线上答疑</w:t>
            </w:r>
          </w:p>
        </w:tc>
        <w:tc>
          <w:tcPr>
            <w:tcW w:w="1215" w:type="dxa"/>
            <w:vMerge w:val="restart"/>
            <w:shd w:val="clear" w:color="auto" w:fill="auto"/>
            <w:vAlign w:val="top"/>
          </w:tcPr>
          <w:p w14:paraId="21D53DC8">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4.1 换药前</w:t>
            </w:r>
          </w:p>
        </w:tc>
        <w:tc>
          <w:tcPr>
            <w:tcW w:w="4847" w:type="dxa"/>
            <w:shd w:val="clear" w:color="auto" w:fill="auto"/>
            <w:vAlign w:val="top"/>
          </w:tcPr>
          <w:p w14:paraId="453C5AD6">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照护者应学会使用生理盐水浸浴或涂抹油剂产品（如凡士林、液体石蜡等）软化敷料后再祛除敷料，但要注意浸湿面积，尤其是新生儿，面积过大会降低身体温度。</w:t>
            </w:r>
          </w:p>
        </w:tc>
      </w:tr>
      <w:tr w14:paraId="4FDB906D">
        <w:tc>
          <w:tcPr>
            <w:tcW w:w="1020" w:type="dxa"/>
            <w:vMerge w:val="continue"/>
            <w:shd w:val="clear" w:color="auto" w:fill="auto"/>
            <w:vAlign w:val="top"/>
          </w:tcPr>
          <w:p w14:paraId="0962296B">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33F4E42B">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5FBAE07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针对已经发生伤口粘连的地方或粘到皮肤上的胶带使用黏胶去除剂（SMAR）后轻柔的剥离敷料。</w:t>
            </w:r>
          </w:p>
        </w:tc>
      </w:tr>
      <w:tr w14:paraId="38D2C2D9">
        <w:tc>
          <w:tcPr>
            <w:tcW w:w="1020" w:type="dxa"/>
            <w:vMerge w:val="continue"/>
          </w:tcPr>
          <w:p w14:paraId="542385AF">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restart"/>
          </w:tcPr>
          <w:p w14:paraId="570C35B9">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4.2 换药中</w:t>
            </w:r>
          </w:p>
        </w:tc>
        <w:tc>
          <w:tcPr>
            <w:tcW w:w="4847" w:type="dxa"/>
            <w:shd w:val="clear" w:color="auto" w:fill="auto"/>
            <w:vAlign w:val="top"/>
          </w:tcPr>
          <w:p w14:paraId="30D40B52">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照护者应学会根据患儿年龄选择合适的、经过信效度验证的疼痛评估量表：① 新生儿使用新生儿疼痛评估量表（NIPS）；② 新生儿–3 岁使用 FLACC 量表；③ 3–7 岁使用 Wong-Baker 面部表情疼痛量表；④ &gt;7 岁使用视觉模拟评分法（VAS）。</w:t>
            </w:r>
          </w:p>
          <w:p w14:paraId="5D9D75CF">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照护者应能在日常护理和换药过程中使用相应量表观察并记录疼痛情况，为疼痛管理和就医提供依据。</w:t>
            </w:r>
          </w:p>
        </w:tc>
      </w:tr>
      <w:tr w14:paraId="3E078561">
        <w:tc>
          <w:tcPr>
            <w:tcW w:w="1020" w:type="dxa"/>
            <w:vMerge w:val="continue"/>
            <w:shd w:val="clear" w:color="auto" w:fill="auto"/>
            <w:vAlign w:val="top"/>
          </w:tcPr>
          <w:p w14:paraId="10C82147">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033ACBB8">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201BA5E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照护者应在医护人员的指导下更换敷料时提供合适的镇痛措施：轻度疼痛可使用如对乙酰氨基酚和布洛芬，新生儿可根据体重使用24%蔗糖或20%-30%浓度的葡萄糖溶液。严重疼痛可根据医嘱使用止痛药物。</w:t>
            </w:r>
          </w:p>
        </w:tc>
      </w:tr>
      <w:tr w14:paraId="13AEA901">
        <w:tc>
          <w:tcPr>
            <w:tcW w:w="1020" w:type="dxa"/>
            <w:vMerge w:val="continue"/>
          </w:tcPr>
          <w:p w14:paraId="77685FD8">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tcPr>
          <w:p w14:paraId="6415AA8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4.3 换药后</w:t>
            </w:r>
          </w:p>
        </w:tc>
        <w:tc>
          <w:tcPr>
            <w:tcW w:w="4847" w:type="dxa"/>
            <w:shd w:val="clear" w:color="auto" w:fill="auto"/>
            <w:vAlign w:val="top"/>
          </w:tcPr>
          <w:p w14:paraId="708C9E21">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w:t>
            </w:r>
            <w:r>
              <w:rPr>
                <w:rFonts w:hint="eastAsia" w:ascii="宋体" w:hAnsi="宋体" w:eastAsia="宋体" w:cs="宋体"/>
                <w:b w:val="0"/>
                <w:bCs w:val="0"/>
                <w:kern w:val="2"/>
                <w:sz w:val="20"/>
                <w:szCs w:val="20"/>
                <w:vertAlign w:val="baseline"/>
                <w:lang w:val="en-US" w:eastAsia="zh-Hans" w:bidi="ar-SA"/>
              </w:rPr>
              <w:t>换药后给予孩子安抚、拥抱、轻柔触摸</w:t>
            </w:r>
            <w:r>
              <w:rPr>
                <w:rFonts w:hint="eastAsia" w:ascii="宋体" w:hAnsi="宋体" w:eastAsia="宋体" w:cs="宋体"/>
                <w:b w:val="0"/>
                <w:bCs w:val="0"/>
                <w:kern w:val="2"/>
                <w:sz w:val="20"/>
                <w:szCs w:val="20"/>
                <w:vertAlign w:val="baseline"/>
                <w:lang w:val="en-US" w:eastAsia="zh-CN" w:bidi="ar-SA"/>
              </w:rPr>
              <w:t>；</w:t>
            </w:r>
            <w:r>
              <w:rPr>
                <w:rFonts w:hint="eastAsia" w:ascii="宋体" w:hAnsi="宋体" w:eastAsia="宋体" w:cs="宋体"/>
                <w:b w:val="0"/>
                <w:bCs w:val="0"/>
                <w:kern w:val="2"/>
                <w:sz w:val="20"/>
                <w:szCs w:val="20"/>
                <w:vertAlign w:val="baseline"/>
                <w:lang w:val="en-US" w:eastAsia="zh-Hans" w:bidi="ar-SA"/>
              </w:rPr>
              <w:t>保持安静环境，可放轻音乐、讲故事帮助放松</w:t>
            </w:r>
            <w:r>
              <w:rPr>
                <w:rFonts w:hint="eastAsia" w:ascii="宋体" w:hAnsi="宋体" w:eastAsia="宋体" w:cs="宋体"/>
                <w:b w:val="0"/>
                <w:bCs w:val="0"/>
                <w:kern w:val="2"/>
                <w:sz w:val="20"/>
                <w:szCs w:val="20"/>
                <w:vertAlign w:val="baseline"/>
                <w:lang w:val="en-US" w:eastAsia="zh-CN" w:bidi="ar-SA"/>
              </w:rPr>
              <w:t>；</w:t>
            </w:r>
            <w:r>
              <w:rPr>
                <w:rFonts w:hint="eastAsia" w:ascii="宋体" w:hAnsi="宋体" w:eastAsia="宋体" w:cs="宋体"/>
                <w:b w:val="0"/>
                <w:bCs w:val="0"/>
                <w:kern w:val="2"/>
                <w:sz w:val="20"/>
                <w:szCs w:val="20"/>
                <w:vertAlign w:val="baseline"/>
                <w:lang w:val="en-US" w:eastAsia="zh-Hans" w:bidi="ar-SA"/>
              </w:rPr>
              <w:t>可建立“换药后奖励”，增强患儿配合</w:t>
            </w:r>
            <w:r>
              <w:rPr>
                <w:rFonts w:hint="eastAsia" w:ascii="宋体" w:hAnsi="宋体" w:eastAsia="宋体" w:cs="宋体"/>
                <w:b w:val="0"/>
                <w:bCs w:val="0"/>
                <w:kern w:val="2"/>
                <w:sz w:val="20"/>
                <w:szCs w:val="20"/>
                <w:vertAlign w:val="baseline"/>
                <w:lang w:val="en-US" w:eastAsia="zh-CN" w:bidi="ar-SA"/>
              </w:rPr>
              <w:t>意愿。</w:t>
            </w:r>
          </w:p>
        </w:tc>
      </w:tr>
      <w:tr w14:paraId="09B853FE">
        <w:tc>
          <w:tcPr>
            <w:tcW w:w="7082" w:type="dxa"/>
            <w:gridSpan w:val="3"/>
            <w:shd w:val="clear" w:color="auto" w:fill="auto"/>
            <w:vAlign w:val="top"/>
          </w:tcPr>
          <w:p w14:paraId="1F8F64A3">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5.营养支持</w:t>
            </w:r>
          </w:p>
        </w:tc>
      </w:tr>
      <w:tr w14:paraId="7EDCDC5D">
        <w:trPr>
          <w:trHeight w:val="946" w:hRule="atLeast"/>
        </w:trPr>
        <w:tc>
          <w:tcPr>
            <w:tcW w:w="1020" w:type="dxa"/>
            <w:vMerge w:val="restart"/>
            <w:shd w:val="clear" w:color="auto" w:fill="auto"/>
            <w:vAlign w:val="top"/>
          </w:tcPr>
          <w:p w14:paraId="3B0C3135">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科普图文</w:t>
            </w:r>
          </w:p>
          <w:p w14:paraId="69906587">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讲座</w:t>
            </w:r>
          </w:p>
          <w:p w14:paraId="1DE1C8B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线上答疑</w:t>
            </w:r>
          </w:p>
        </w:tc>
        <w:tc>
          <w:tcPr>
            <w:tcW w:w="1215" w:type="dxa"/>
            <w:vMerge w:val="restart"/>
            <w:shd w:val="clear" w:color="auto" w:fill="auto"/>
            <w:vAlign w:val="top"/>
          </w:tcPr>
          <w:p w14:paraId="3D4A0935">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5.1日常饮食指导</w:t>
            </w:r>
          </w:p>
        </w:tc>
        <w:tc>
          <w:tcPr>
            <w:tcW w:w="4847" w:type="dxa"/>
            <w:shd w:val="clear" w:color="auto" w:fill="auto"/>
            <w:vAlign w:val="top"/>
          </w:tcPr>
          <w:p w14:paraId="5D293F28">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照护者应掌握营养护理措施：</w:t>
            </w:r>
            <w:r>
              <w:rPr>
                <w:rFonts w:hint="default" w:ascii="宋体" w:hAnsi="宋体" w:eastAsia="宋体" w:cs="宋体"/>
                <w:b w:val="0"/>
                <w:bCs w:val="0"/>
                <w:kern w:val="2"/>
                <w:sz w:val="20"/>
                <w:szCs w:val="20"/>
                <w:vertAlign w:val="baseline"/>
                <w:lang w:val="en-US" w:eastAsia="zh-CN" w:bidi="ar-SA"/>
              </w:rPr>
              <w:t>EB</w:t>
            </w:r>
            <w:r>
              <w:rPr>
                <w:rFonts w:hint="eastAsia" w:ascii="宋体" w:hAnsi="宋体" w:eastAsia="宋体" w:cs="宋体"/>
                <w:b w:val="0"/>
                <w:bCs w:val="0"/>
                <w:kern w:val="2"/>
                <w:sz w:val="20"/>
                <w:szCs w:val="20"/>
                <w:vertAlign w:val="baseline"/>
                <w:lang w:val="en-US" w:eastAsia="zh-CN" w:bidi="ar-SA"/>
              </w:rPr>
              <w:t>患者应食用高蛋白高维生素温凉易吞咽的饮食。</w:t>
            </w:r>
          </w:p>
        </w:tc>
      </w:tr>
      <w:tr w14:paraId="4A57AE97">
        <w:trPr>
          <w:trHeight w:val="946" w:hRule="atLeast"/>
        </w:trPr>
        <w:tc>
          <w:tcPr>
            <w:tcW w:w="1020" w:type="dxa"/>
            <w:vMerge w:val="continue"/>
            <w:shd w:val="clear" w:color="auto" w:fill="auto"/>
            <w:vAlign w:val="top"/>
          </w:tcPr>
          <w:p w14:paraId="4A39CA43">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3B3EF8FF">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2FB2BACB">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使用母乳喂养</w:t>
            </w:r>
            <w:r>
              <w:rPr>
                <w:rFonts w:hint="default" w:ascii="宋体" w:hAnsi="宋体" w:eastAsia="宋体" w:cs="宋体"/>
                <w:b w:val="0"/>
                <w:bCs w:val="0"/>
                <w:kern w:val="2"/>
                <w:sz w:val="20"/>
                <w:szCs w:val="20"/>
                <w:vertAlign w:val="baseline"/>
                <w:lang w:val="en-US" w:eastAsia="zh-CN" w:bidi="ar-SA"/>
              </w:rPr>
              <w:t>EB</w:t>
            </w:r>
            <w:r>
              <w:rPr>
                <w:rFonts w:hint="eastAsia" w:ascii="宋体" w:hAnsi="宋体" w:eastAsia="宋体" w:cs="宋体"/>
                <w:b w:val="0"/>
                <w:bCs w:val="0"/>
                <w:kern w:val="2"/>
                <w:sz w:val="20"/>
                <w:szCs w:val="20"/>
                <w:vertAlign w:val="baseline"/>
                <w:lang w:val="en-US" w:eastAsia="zh-CN" w:bidi="ar-SA"/>
              </w:rPr>
              <w:t>婴儿，若不能母乳喂养或体重增长较慢，需必要补充加强营养的配方奶粉；</w:t>
            </w:r>
          </w:p>
        </w:tc>
      </w:tr>
      <w:tr w14:paraId="72D8A0A5">
        <w:tc>
          <w:tcPr>
            <w:tcW w:w="1020" w:type="dxa"/>
            <w:vMerge w:val="restart"/>
          </w:tcPr>
          <w:p w14:paraId="447D6D62">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bookmarkStart w:id="0" w:name="_GoBack"/>
            <w:bookmarkEnd w:id="0"/>
            <w:r>
              <w:rPr>
                <w:rFonts w:hint="eastAsia" w:ascii="宋体" w:hAnsi="宋体" w:eastAsia="宋体" w:cs="宋体"/>
                <w:b w:val="0"/>
                <w:bCs w:val="0"/>
                <w:kern w:val="2"/>
                <w:sz w:val="20"/>
                <w:szCs w:val="20"/>
                <w:vertAlign w:val="baseline"/>
                <w:lang w:val="en-US" w:eastAsia="zh-CN" w:bidi="ar-SA"/>
              </w:rPr>
              <w:t>讲座</w:t>
            </w:r>
          </w:p>
          <w:p w14:paraId="508ABFFF">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线下指导</w:t>
            </w:r>
          </w:p>
        </w:tc>
        <w:tc>
          <w:tcPr>
            <w:tcW w:w="1215" w:type="dxa"/>
            <w:vMerge w:val="restart"/>
          </w:tcPr>
          <w:p w14:paraId="220DE0E5">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7.1随访频次</w:t>
            </w:r>
          </w:p>
        </w:tc>
        <w:tc>
          <w:tcPr>
            <w:tcW w:w="4847" w:type="dxa"/>
            <w:shd w:val="clear" w:color="auto" w:fill="auto"/>
            <w:vAlign w:val="top"/>
          </w:tcPr>
          <w:p w14:paraId="54683B5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照护者应能配合完成定期随访：</w:t>
            </w:r>
            <w:r>
              <w:rPr>
                <w:rFonts w:hint="eastAsia" w:ascii="宋体" w:hAnsi="宋体" w:eastAsia="宋体" w:cs="宋体"/>
                <w:b w:val="0"/>
                <w:bCs w:val="0"/>
                <w:kern w:val="2"/>
                <w:sz w:val="20"/>
                <w:szCs w:val="20"/>
                <w:vertAlign w:val="baseline"/>
                <w:lang w:val="en-US" w:eastAsia="zh-Hans" w:bidi="ar-SA"/>
              </w:rPr>
              <w:t>对于轻度  EB  亚型，如局部EBS或轻度显性遗传DEB，婴儿期随访</w:t>
            </w:r>
            <w:r>
              <w:rPr>
                <w:rFonts w:hint="eastAsia" w:ascii="宋体" w:hAnsi="宋体" w:eastAsia="宋体" w:cs="宋体"/>
                <w:b w:val="0"/>
                <w:bCs w:val="0"/>
                <w:kern w:val="2"/>
                <w:sz w:val="20"/>
                <w:szCs w:val="20"/>
                <w:vertAlign w:val="baseline"/>
                <w:lang w:val="en-US" w:eastAsia="zh-CN" w:bidi="ar-SA"/>
              </w:rPr>
              <w:t>宜</w:t>
            </w:r>
            <w:r>
              <w:rPr>
                <w:rFonts w:hint="eastAsia" w:ascii="宋体" w:hAnsi="宋体" w:eastAsia="宋体" w:cs="宋体"/>
                <w:b w:val="0"/>
                <w:bCs w:val="0"/>
                <w:kern w:val="2"/>
                <w:sz w:val="20"/>
                <w:szCs w:val="20"/>
                <w:vertAlign w:val="baseline"/>
                <w:lang w:val="en-US" w:eastAsia="zh-Hans" w:bidi="ar-SA"/>
              </w:rPr>
              <w:t>为每 3‑6 个月一次；儿童期后</w:t>
            </w:r>
            <w:r>
              <w:rPr>
                <w:rFonts w:hint="eastAsia" w:ascii="宋体" w:hAnsi="宋体" w:eastAsia="宋体" w:cs="宋体"/>
                <w:b w:val="0"/>
                <w:bCs w:val="0"/>
                <w:kern w:val="2"/>
                <w:sz w:val="20"/>
                <w:szCs w:val="20"/>
                <w:vertAlign w:val="baseline"/>
                <w:lang w:val="en-US" w:eastAsia="zh-CN" w:bidi="ar-SA"/>
              </w:rPr>
              <w:t>宜</w:t>
            </w:r>
            <w:r>
              <w:rPr>
                <w:rFonts w:hint="eastAsia" w:ascii="宋体" w:hAnsi="宋体" w:eastAsia="宋体" w:cs="宋体"/>
                <w:b w:val="0"/>
                <w:bCs w:val="0"/>
                <w:kern w:val="2"/>
                <w:sz w:val="20"/>
                <w:szCs w:val="20"/>
                <w:vertAlign w:val="baseline"/>
                <w:lang w:val="en-US" w:eastAsia="zh-Hans" w:bidi="ar-SA"/>
              </w:rPr>
              <w:t>每年进行一次随访。</w:t>
            </w:r>
          </w:p>
        </w:tc>
      </w:tr>
      <w:tr w14:paraId="4904165D">
        <w:tc>
          <w:tcPr>
            <w:tcW w:w="1020" w:type="dxa"/>
            <w:vMerge w:val="continue"/>
            <w:shd w:val="clear" w:color="auto" w:fill="auto"/>
            <w:vAlign w:val="top"/>
          </w:tcPr>
          <w:p w14:paraId="2D680EF1">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22A92760">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212723ED">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Hans" w:bidi="ar-SA"/>
              </w:rPr>
              <w:t>重型EB患者</w:t>
            </w:r>
            <w:r>
              <w:rPr>
                <w:rFonts w:hint="eastAsia" w:ascii="宋体" w:hAnsi="宋体" w:eastAsia="宋体" w:cs="宋体"/>
                <w:b w:val="0"/>
                <w:bCs w:val="0"/>
                <w:kern w:val="2"/>
                <w:sz w:val="20"/>
                <w:szCs w:val="20"/>
                <w:vertAlign w:val="baseline"/>
                <w:lang w:val="en-US" w:eastAsia="zh-CN" w:bidi="ar-SA"/>
              </w:rPr>
              <w:t>宜</w:t>
            </w:r>
            <w:r>
              <w:rPr>
                <w:rFonts w:hint="eastAsia" w:ascii="宋体" w:hAnsi="宋体" w:eastAsia="宋体" w:cs="宋体"/>
                <w:b w:val="0"/>
                <w:bCs w:val="0"/>
                <w:kern w:val="2"/>
                <w:sz w:val="20"/>
                <w:szCs w:val="20"/>
                <w:vertAlign w:val="baseline"/>
                <w:lang w:val="en-US" w:eastAsia="zh-Hans" w:bidi="ar-SA"/>
              </w:rPr>
              <w:t>每3-6个月就诊1次，如重度、泛发性隐性遗传DEB或JEB，婴儿期</w:t>
            </w:r>
            <w:r>
              <w:rPr>
                <w:rFonts w:hint="eastAsia" w:ascii="宋体" w:hAnsi="宋体" w:eastAsia="宋体" w:cs="宋体"/>
                <w:b w:val="0"/>
                <w:bCs w:val="0"/>
                <w:kern w:val="2"/>
                <w:sz w:val="20"/>
                <w:szCs w:val="20"/>
                <w:vertAlign w:val="baseline"/>
                <w:lang w:val="en-US" w:eastAsia="zh-CN" w:bidi="ar-SA"/>
              </w:rPr>
              <w:t>宜</w:t>
            </w:r>
            <w:r>
              <w:rPr>
                <w:rFonts w:hint="eastAsia" w:ascii="宋体" w:hAnsi="宋体" w:eastAsia="宋体" w:cs="宋体"/>
                <w:b w:val="0"/>
                <w:bCs w:val="0"/>
                <w:kern w:val="2"/>
                <w:sz w:val="20"/>
                <w:szCs w:val="20"/>
                <w:vertAlign w:val="baseline"/>
                <w:lang w:val="en-US" w:eastAsia="zh-Hans" w:bidi="ar-SA"/>
              </w:rPr>
              <w:t>每三个月一次；儿童期后</w:t>
            </w:r>
            <w:r>
              <w:rPr>
                <w:rFonts w:hint="eastAsia" w:ascii="宋体" w:hAnsi="宋体" w:eastAsia="宋体" w:cs="宋体"/>
                <w:b w:val="0"/>
                <w:bCs w:val="0"/>
                <w:kern w:val="2"/>
                <w:sz w:val="20"/>
                <w:szCs w:val="20"/>
                <w:vertAlign w:val="baseline"/>
                <w:lang w:val="en-US" w:eastAsia="zh-CN" w:bidi="ar-SA"/>
              </w:rPr>
              <w:t>应至少</w:t>
            </w:r>
            <w:r>
              <w:rPr>
                <w:rFonts w:hint="eastAsia" w:ascii="宋体" w:hAnsi="宋体" w:eastAsia="宋体" w:cs="宋体"/>
                <w:b w:val="0"/>
                <w:bCs w:val="0"/>
                <w:kern w:val="2"/>
                <w:sz w:val="20"/>
                <w:szCs w:val="20"/>
                <w:vertAlign w:val="baseline"/>
                <w:lang w:val="en-US" w:eastAsia="zh-Hans" w:bidi="ar-SA"/>
              </w:rPr>
              <w:t>每年两次随访，16岁后</w:t>
            </w:r>
            <w:r>
              <w:rPr>
                <w:rFonts w:hint="eastAsia" w:ascii="宋体" w:hAnsi="宋体" w:eastAsia="宋体" w:cs="宋体"/>
                <w:b w:val="0"/>
                <w:bCs w:val="0"/>
                <w:kern w:val="2"/>
                <w:sz w:val="20"/>
                <w:szCs w:val="20"/>
                <w:vertAlign w:val="baseline"/>
                <w:lang w:val="en-US" w:eastAsia="zh-CN" w:bidi="ar-SA"/>
              </w:rPr>
              <w:t>宜</w:t>
            </w:r>
            <w:r>
              <w:rPr>
                <w:rFonts w:hint="eastAsia" w:ascii="宋体" w:hAnsi="宋体" w:eastAsia="宋体" w:cs="宋体"/>
                <w:b w:val="0"/>
                <w:bCs w:val="0"/>
                <w:kern w:val="2"/>
                <w:sz w:val="20"/>
                <w:szCs w:val="20"/>
                <w:vertAlign w:val="baseline"/>
                <w:lang w:val="en-US" w:eastAsia="zh-Hans" w:bidi="ar-SA"/>
              </w:rPr>
              <w:t>每3个月进行一次随访，警惕鳞状细胞癌。</w:t>
            </w:r>
          </w:p>
        </w:tc>
      </w:tr>
      <w:tr w14:paraId="74BE7961">
        <w:tc>
          <w:tcPr>
            <w:tcW w:w="1020" w:type="dxa"/>
            <w:vMerge w:val="continue"/>
          </w:tcPr>
          <w:p w14:paraId="5E82BAF7">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restart"/>
          </w:tcPr>
          <w:p w14:paraId="596E24B2">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7.2随访内容</w:t>
            </w:r>
          </w:p>
        </w:tc>
        <w:tc>
          <w:tcPr>
            <w:tcW w:w="4847" w:type="dxa"/>
            <w:shd w:val="clear" w:color="auto" w:fill="auto"/>
            <w:vAlign w:val="top"/>
          </w:tcPr>
          <w:p w14:paraId="0C7F7F5A">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照护者应在随访过程中如实反馈患儿情况，包括：患者全身伤口皮肤情况（部位、大小、数量及愈合情况等）、敷料使用情况（根据伤口状况调整敷料的使用）、伤口包扎是否合理、伤口护理方式是否正确。</w:t>
            </w:r>
          </w:p>
        </w:tc>
      </w:tr>
      <w:tr w14:paraId="1CF9E82C">
        <w:tc>
          <w:tcPr>
            <w:tcW w:w="1020" w:type="dxa"/>
            <w:vMerge w:val="continue"/>
            <w:shd w:val="clear" w:color="auto" w:fill="auto"/>
            <w:vAlign w:val="top"/>
          </w:tcPr>
          <w:p w14:paraId="54EC0CCC">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1215" w:type="dxa"/>
            <w:vMerge w:val="continue"/>
            <w:shd w:val="clear" w:color="auto" w:fill="auto"/>
            <w:vAlign w:val="top"/>
          </w:tcPr>
          <w:p w14:paraId="04464857">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p>
        </w:tc>
        <w:tc>
          <w:tcPr>
            <w:tcW w:w="4847" w:type="dxa"/>
            <w:shd w:val="clear" w:color="auto" w:fill="auto"/>
            <w:vAlign w:val="top"/>
          </w:tcPr>
          <w:p w14:paraId="04E0AA64">
            <w:pPr>
              <w:keepNext w:val="0"/>
              <w:keepLines w:val="0"/>
              <w:pageBreakBefore w:val="0"/>
              <w:widowControl/>
              <w:numPr>
                <w:ilvl w:val="-1"/>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b w:val="0"/>
                <w:bCs w:val="0"/>
                <w:kern w:val="2"/>
                <w:sz w:val="20"/>
                <w:szCs w:val="20"/>
                <w:vertAlign w:val="baseline"/>
                <w:lang w:val="en-US" w:eastAsia="zh-CN" w:bidi="ar-SA"/>
              </w:rPr>
            </w:pPr>
            <w:r>
              <w:rPr>
                <w:rFonts w:hint="eastAsia" w:ascii="宋体" w:hAnsi="宋体" w:eastAsia="宋体" w:cs="宋体"/>
                <w:b w:val="0"/>
                <w:bCs w:val="0"/>
                <w:kern w:val="2"/>
                <w:sz w:val="20"/>
                <w:szCs w:val="20"/>
                <w:vertAlign w:val="baseline"/>
                <w:lang w:val="en-US" w:eastAsia="zh-CN" w:bidi="ar-SA"/>
              </w:rPr>
              <w:t>患儿换药时的疼痛程、关节活动度、营养状况及心理压力等。</w:t>
            </w:r>
          </w:p>
        </w:tc>
      </w:tr>
    </w:tbl>
    <w:p w14:paraId="7B848D1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D5948C"/>
    <w:rsid w:val="4F7B97E9"/>
    <w:rsid w:val="5FABFF2E"/>
    <w:rsid w:val="69F6388A"/>
    <w:rsid w:val="77DF92D6"/>
    <w:rsid w:val="7B9D0279"/>
    <w:rsid w:val="7BD5948C"/>
    <w:rsid w:val="7EF740F6"/>
    <w:rsid w:val="C7AF3A0A"/>
    <w:rsid w:val="CB73AB6A"/>
    <w:rsid w:val="EFDEC50C"/>
    <w:rsid w:val="FF1D20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38</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2025-09-26T14:49:00Z</dcterms:created>
  <dc:creator>零</dc:creator>
  <cp:lastModifiedBy>零</cp:lastModifiedBy>
  <dcterms:modified xsi:type="dcterms:W3CDTF">2025-10-16T09:15:51Z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434C8EE51FCB9889E9E5D46889960E1A_41</vt:lpwstr>
  </property>
</Properties>
</file>