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266A2">
      <w:pPr>
        <w:spacing w:line="400" w:lineRule="exact"/>
        <w:jc w:val="center"/>
        <w:rPr>
          <w:rFonts w:ascii="Times New Roman" w:hAnsi="Times New Roman" w:eastAsia="宋体" w:cs="宋体"/>
          <w:b/>
          <w:bCs/>
          <w:lang w:bidi="ar"/>
        </w:rPr>
      </w:pPr>
      <w:r>
        <w:rPr>
          <w:rFonts w:hint="eastAsia" w:ascii="Times New Roman" w:hAnsi="Times New Roman" w:eastAsia="宋体" w:cs="宋体"/>
          <w:b/>
          <w:bCs/>
          <w:lang w:bidi="ar"/>
        </w:rPr>
        <w:t>表</w:t>
      </w:r>
      <w:r>
        <w:rPr>
          <w:rFonts w:hint="eastAsia" w:ascii="Times New Roman" w:hAnsi="Times New Roman" w:eastAsia="宋体" w:cs="宋体"/>
          <w:b/>
          <w:bCs/>
          <w:lang w:val="en-US" w:eastAsia="zh-CN" w:bidi="ar"/>
        </w:rPr>
        <w:t>3</w:t>
      </w:r>
      <w:r>
        <w:rPr>
          <w:rFonts w:hint="eastAsia" w:ascii="Times New Roman" w:hAnsi="Times New Roman" w:eastAsia="宋体" w:cs="宋体"/>
          <w:b/>
          <w:bCs/>
          <w:lang w:bidi="ar"/>
        </w:rPr>
        <w:t>-6 EB患儿照护者居家皮肤伤口护理能力提升方案终稿</w:t>
      </w:r>
    </w:p>
    <w:p w14:paraId="0517FC1E">
      <w:pPr>
        <w:spacing w:line="400" w:lineRule="exact"/>
        <w:rPr>
          <w:rFonts w:ascii="Times New Roman" w:hAnsi="Times New Roman" w:eastAsia="宋体" w:cs="宋体"/>
          <w:b/>
          <w:bCs/>
          <w:lang w:bidi="ar"/>
        </w:rPr>
      </w:pPr>
      <w:r>
        <w:rPr>
          <w:rFonts w:hint="eastAsia" w:ascii="Times New Roman" w:hAnsi="Times New Roman" w:eastAsia="宋体" w:cs="宋体"/>
          <w:b/>
          <w:bCs/>
          <w:lang w:bidi="ar"/>
        </w:rPr>
        <w:t>1.日常基础护理</w:t>
      </w:r>
    </w:p>
    <w:p w14:paraId="042FC546">
      <w:pPr>
        <w:spacing w:line="400" w:lineRule="exact"/>
        <w:ind w:firstLine="480" w:firstLineChars="200"/>
        <w:rPr>
          <w:rFonts w:ascii="宋体" w:hAnsi="宋体" w:eastAsia="宋体" w:cs="宋体"/>
          <w:szCs w:val="20"/>
        </w:rPr>
      </w:pPr>
      <w:r>
        <w:rPr>
          <w:rFonts w:hint="eastAsia" w:ascii="Times New Roman Regular" w:hAnsi="Times New Roman Regular" w:cs="Times New Roman Regular"/>
          <w:b/>
          <w:bCs/>
        </w:rPr>
        <w:t>能力目标：</w:t>
      </w:r>
      <w:r>
        <w:rPr>
          <w:rFonts w:ascii="宋体" w:hAnsi="宋体" w:eastAsia="宋体" w:cs="宋体"/>
          <w:szCs w:val="20"/>
        </w:rPr>
        <w:t>照护者能够为EB患儿提供安全、舒适的居家皮肤基础护理包括创造适宜的居家环境、合理选择衣物与用品、掌握科学的皮肤清洁方法，以及进行日常皮肤观察与保护，从而减少皮肤损伤的发生、降低护理风险，并为进一步的伤口护理奠定基础。</w:t>
      </w:r>
    </w:p>
    <w:p w14:paraId="37AFAEA6">
      <w:pPr>
        <w:spacing w:line="400" w:lineRule="exact"/>
        <w:ind w:firstLine="480" w:firstLineChars="200"/>
        <w:rPr>
          <w:rFonts w:ascii="宋体" w:hAnsi="宋体" w:eastAsia="宋体" w:cs="宋体"/>
        </w:rPr>
      </w:pP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1"/>
        <w:gridCol w:w="6751"/>
        <w:gridCol w:w="1100"/>
      </w:tblGrid>
      <w:tr w14:paraId="175DBF46">
        <w:trPr>
          <w:trHeight w:val="563" w:hRule="atLeast"/>
          <w:tblHeader/>
        </w:trPr>
        <w:tc>
          <w:tcPr>
            <w:tcW w:w="0" w:type="auto"/>
            <w:tcBorders>
              <w:top w:val="single" w:color="auto" w:sz="12" w:space="0"/>
              <w:bottom w:val="single" w:color="auto" w:sz="6" w:space="0"/>
            </w:tcBorders>
          </w:tcPr>
          <w:p w14:paraId="69CBF430">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类别</w:t>
            </w:r>
          </w:p>
        </w:tc>
        <w:tc>
          <w:tcPr>
            <w:tcW w:w="0" w:type="auto"/>
            <w:tcBorders>
              <w:top w:val="single" w:color="auto" w:sz="12" w:space="0"/>
              <w:bottom w:val="single" w:color="auto" w:sz="6" w:space="0"/>
            </w:tcBorders>
          </w:tcPr>
          <w:p w14:paraId="5063C621">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具体干预方案内容</w:t>
            </w:r>
          </w:p>
        </w:tc>
        <w:tc>
          <w:tcPr>
            <w:tcW w:w="0" w:type="auto"/>
            <w:tcBorders>
              <w:top w:val="single" w:color="auto" w:sz="12" w:space="0"/>
              <w:bottom w:val="single" w:color="auto" w:sz="6" w:space="0"/>
            </w:tcBorders>
          </w:tcPr>
          <w:p w14:paraId="1EB4C106">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干预</w:t>
            </w:r>
            <w:r>
              <w:rPr>
                <w:rFonts w:hint="eastAsia" w:ascii="宋体" w:hAnsi="宋体" w:eastAsia="宋体" w:cs="宋体"/>
                <w:b/>
                <w:bCs/>
                <w:sz w:val="21"/>
                <w:szCs w:val="21"/>
                <w:lang w:val="en-US" w:eastAsia="zh-CN"/>
              </w:rPr>
              <w:t>方式</w:t>
            </w:r>
          </w:p>
        </w:tc>
      </w:tr>
      <w:tr w14:paraId="4B94DC4B">
        <w:trPr>
          <w:trHeight w:val="673" w:hRule="atLeast"/>
        </w:trPr>
        <w:tc>
          <w:tcPr>
            <w:tcW w:w="0" w:type="auto"/>
            <w:vMerge w:val="restart"/>
            <w:tcBorders>
              <w:top w:val="single" w:color="auto" w:sz="6" w:space="0"/>
            </w:tcBorders>
          </w:tcPr>
          <w:p w14:paraId="027FADD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1.1环境要求</w:t>
            </w:r>
          </w:p>
        </w:tc>
        <w:tc>
          <w:tcPr>
            <w:tcW w:w="0" w:type="auto"/>
            <w:tcBorders>
              <w:top w:val="single" w:color="auto" w:sz="6" w:space="0"/>
            </w:tcBorders>
          </w:tcPr>
          <w:p w14:paraId="773C903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照护者应能保持居家环境清洁，调节室温至24–26℃，并避免患儿过热，以减少皮肤损伤风险。</w:t>
            </w:r>
          </w:p>
        </w:tc>
        <w:tc>
          <w:tcPr>
            <w:tcW w:w="0" w:type="auto"/>
            <w:vMerge w:val="restart"/>
            <w:tcBorders>
              <w:top w:val="single" w:color="auto" w:sz="6" w:space="0"/>
            </w:tcBorders>
          </w:tcPr>
          <w:p w14:paraId="6975143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tc>
      </w:tr>
      <w:tr w14:paraId="6F1DE51C">
        <w:trPr>
          <w:trHeight w:val="673" w:hRule="atLeast"/>
        </w:trPr>
        <w:tc>
          <w:tcPr>
            <w:tcW w:w="0" w:type="auto"/>
            <w:vMerge w:val="continue"/>
          </w:tcPr>
          <w:p w14:paraId="28D3F513">
            <w:pPr>
              <w:widowControl/>
              <w:numPr>
                <w:ilvl w:val="255"/>
                <w:numId w:val="0"/>
              </w:numPr>
              <w:spacing w:line="400" w:lineRule="exact"/>
              <w:rPr>
                <w:rFonts w:ascii="宋体" w:hAnsi="宋体" w:eastAsia="宋体" w:cs="宋体"/>
                <w:sz w:val="20"/>
                <w:szCs w:val="20"/>
              </w:rPr>
            </w:pPr>
          </w:p>
        </w:tc>
        <w:tc>
          <w:tcPr>
            <w:tcW w:w="0" w:type="auto"/>
          </w:tcPr>
          <w:p w14:paraId="666DACD9">
            <w:pPr>
              <w:widowControl/>
              <w:numPr>
                <w:ilvl w:val="255"/>
                <w:numId w:val="0"/>
              </w:numPr>
              <w:spacing w:line="400" w:lineRule="exact"/>
              <w:rPr>
                <w:rFonts w:ascii="宋体" w:hAnsi="宋体" w:eastAsia="宋体" w:cs="宋体"/>
                <w:sz w:val="20"/>
                <w:szCs w:val="20"/>
              </w:rPr>
            </w:pPr>
            <w:r>
              <w:rPr>
                <w:rFonts w:ascii="宋体" w:hAnsi="宋体" w:eastAsia="宋体" w:cs="宋体"/>
                <w:sz w:val="20"/>
                <w:szCs w:val="20"/>
              </w:rPr>
              <w:t>能够识别并减少可能造成皮肤摩擦或损伤的环境风险因素（如粗糙床单、硬质玩具）。</w:t>
            </w:r>
          </w:p>
        </w:tc>
        <w:tc>
          <w:tcPr>
            <w:tcW w:w="0" w:type="auto"/>
            <w:vMerge w:val="continue"/>
          </w:tcPr>
          <w:p w14:paraId="188CDD99">
            <w:pPr>
              <w:widowControl/>
              <w:numPr>
                <w:ilvl w:val="255"/>
                <w:numId w:val="0"/>
              </w:numPr>
              <w:spacing w:line="400" w:lineRule="exact"/>
              <w:rPr>
                <w:rFonts w:ascii="宋体" w:hAnsi="宋体" w:eastAsia="宋体" w:cs="宋体"/>
                <w:sz w:val="20"/>
                <w:szCs w:val="20"/>
              </w:rPr>
            </w:pPr>
          </w:p>
        </w:tc>
      </w:tr>
      <w:tr w14:paraId="5CD4E797">
        <w:tc>
          <w:tcPr>
            <w:tcW w:w="0" w:type="auto"/>
            <w:vMerge w:val="restart"/>
          </w:tcPr>
          <w:p w14:paraId="68EB5BA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1.2皮肤评估</w:t>
            </w:r>
          </w:p>
        </w:tc>
        <w:tc>
          <w:tcPr>
            <w:tcW w:w="0" w:type="auto"/>
          </w:tcPr>
          <w:p w14:paraId="282818D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w:t>
            </w:r>
            <w:r>
              <w:rPr>
                <w:rFonts w:hint="eastAsia" w:ascii="宋体" w:hAnsi="宋体" w:eastAsia="宋体" w:cs="宋体"/>
                <w:sz w:val="20"/>
                <w:szCs w:val="20"/>
                <w:lang w:val="en-US" w:eastAsia="zh-CN"/>
              </w:rPr>
              <w:t>应</w:t>
            </w:r>
            <w:r>
              <w:rPr>
                <w:rFonts w:hint="eastAsia" w:ascii="宋体" w:hAnsi="宋体" w:eastAsia="宋体" w:cs="宋体"/>
                <w:sz w:val="20"/>
                <w:szCs w:val="20"/>
              </w:rPr>
              <w:t>每日对患儿裸露的皮肤进行评估，重点评估手臂肘部、脚踝、膝盖等易摩擦部位及皮肤破损严重区域，观察是否有水疱、糜烂等皮肤破损产生；</w:t>
            </w:r>
          </w:p>
        </w:tc>
        <w:tc>
          <w:tcPr>
            <w:tcW w:w="0" w:type="auto"/>
            <w:vMerge w:val="restart"/>
          </w:tcPr>
          <w:p w14:paraId="254ED88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科普图文、自制居家评估表</w:t>
            </w:r>
          </w:p>
        </w:tc>
      </w:tr>
      <w:tr w14:paraId="759E4112">
        <w:tc>
          <w:tcPr>
            <w:tcW w:w="0" w:type="auto"/>
            <w:vMerge w:val="continue"/>
          </w:tcPr>
          <w:p w14:paraId="6EC56910">
            <w:pPr>
              <w:widowControl/>
              <w:numPr>
                <w:ilvl w:val="255"/>
                <w:numId w:val="0"/>
              </w:numPr>
              <w:spacing w:line="400" w:lineRule="exact"/>
              <w:rPr>
                <w:rFonts w:ascii="宋体" w:hAnsi="宋体" w:eastAsia="宋体" w:cs="宋体"/>
                <w:sz w:val="20"/>
                <w:szCs w:val="20"/>
              </w:rPr>
            </w:pPr>
          </w:p>
        </w:tc>
        <w:tc>
          <w:tcPr>
            <w:tcW w:w="0" w:type="auto"/>
          </w:tcPr>
          <w:p w14:paraId="265C898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婴幼儿宜在每次换尿布时评估尿布区域；伤口覆盖区域应每次换药时进行评估。</w:t>
            </w:r>
          </w:p>
        </w:tc>
        <w:tc>
          <w:tcPr>
            <w:tcW w:w="0" w:type="auto"/>
            <w:vMerge w:val="continue"/>
          </w:tcPr>
          <w:p w14:paraId="47146CC9">
            <w:pPr>
              <w:widowControl/>
              <w:numPr>
                <w:ilvl w:val="255"/>
                <w:numId w:val="0"/>
              </w:numPr>
              <w:spacing w:line="400" w:lineRule="exact"/>
              <w:rPr>
                <w:rFonts w:ascii="宋体" w:hAnsi="宋体" w:eastAsia="宋体" w:cs="宋体"/>
                <w:sz w:val="20"/>
                <w:szCs w:val="20"/>
              </w:rPr>
            </w:pPr>
          </w:p>
        </w:tc>
      </w:tr>
      <w:tr w14:paraId="1DF18559">
        <w:trPr>
          <w:trHeight w:val="208" w:hRule="atLeast"/>
        </w:trPr>
        <w:tc>
          <w:tcPr>
            <w:tcW w:w="0" w:type="auto"/>
            <w:vMerge w:val="restart"/>
          </w:tcPr>
          <w:p w14:paraId="5333388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1.3皮肤清洁</w:t>
            </w:r>
          </w:p>
        </w:tc>
        <w:tc>
          <w:tcPr>
            <w:tcW w:w="0" w:type="auto"/>
          </w:tcPr>
          <w:p w14:paraId="6F0BE5D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照护者应根据伤口情况进行洗澡频率</w:t>
            </w:r>
            <w:r>
              <w:rPr>
                <w:rFonts w:hint="eastAsia" w:ascii="宋体" w:hAnsi="宋体" w:eastAsia="宋体" w:cs="宋体"/>
                <w:sz w:val="20"/>
                <w:szCs w:val="20"/>
                <w:lang w:val="en-US" w:eastAsia="zh-CN"/>
              </w:rPr>
              <w:t>的调整</w:t>
            </w:r>
            <w:r>
              <w:rPr>
                <w:rFonts w:hint="eastAsia" w:ascii="宋体" w:hAnsi="宋体" w:eastAsia="宋体" w:cs="宋体"/>
                <w:sz w:val="20"/>
                <w:szCs w:val="20"/>
              </w:rPr>
              <w:t>，避免每日过度清洁，可在集中大面积换药前进行，</w:t>
            </w:r>
            <w:r>
              <w:rPr>
                <w:rFonts w:ascii="宋体" w:hAnsi="宋体" w:eastAsia="宋体" w:cs="宋体"/>
                <w:sz w:val="20"/>
                <w:szCs w:val="20"/>
              </w:rPr>
              <w:t>若使用含银敷料等可</w:t>
            </w:r>
            <w:r>
              <w:rPr>
                <w:rFonts w:hint="eastAsia" w:ascii="宋体" w:hAnsi="宋体" w:eastAsia="宋体" w:cs="宋体"/>
                <w:sz w:val="20"/>
                <w:szCs w:val="20"/>
              </w:rPr>
              <w:t>延长</w:t>
            </w:r>
            <w:r>
              <w:rPr>
                <w:rFonts w:ascii="宋体" w:hAnsi="宋体" w:eastAsia="宋体" w:cs="宋体"/>
                <w:sz w:val="20"/>
                <w:szCs w:val="20"/>
              </w:rPr>
              <w:t>至每周一次</w:t>
            </w:r>
            <w:r>
              <w:rPr>
                <w:rFonts w:hint="eastAsia" w:ascii="宋体" w:hAnsi="宋体" w:eastAsia="宋体" w:cs="宋体"/>
                <w:sz w:val="20"/>
                <w:szCs w:val="20"/>
              </w:rPr>
              <w:t>；每次洗澡时间不宜过长，15-20分钟为宜。</w:t>
            </w:r>
          </w:p>
        </w:tc>
        <w:tc>
          <w:tcPr>
            <w:tcW w:w="0" w:type="auto"/>
            <w:vMerge w:val="restart"/>
          </w:tcPr>
          <w:p w14:paraId="367E14D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tc>
      </w:tr>
      <w:tr w14:paraId="65DAB3FB">
        <w:trPr>
          <w:trHeight w:val="208" w:hRule="atLeast"/>
        </w:trPr>
        <w:tc>
          <w:tcPr>
            <w:tcW w:w="0" w:type="auto"/>
            <w:vMerge w:val="continue"/>
          </w:tcPr>
          <w:p w14:paraId="55955EA1">
            <w:pPr>
              <w:widowControl/>
              <w:numPr>
                <w:ilvl w:val="255"/>
                <w:numId w:val="0"/>
              </w:numPr>
              <w:spacing w:line="400" w:lineRule="exact"/>
              <w:rPr>
                <w:rFonts w:ascii="宋体" w:hAnsi="宋体" w:eastAsia="宋体" w:cs="宋体"/>
                <w:sz w:val="20"/>
                <w:szCs w:val="20"/>
              </w:rPr>
            </w:pPr>
          </w:p>
        </w:tc>
        <w:tc>
          <w:tcPr>
            <w:tcW w:w="0" w:type="auto"/>
          </w:tcPr>
          <w:p w14:paraId="5E5C224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新生儿在出生时造成的皮肤损伤尚未愈合前，宜避免洗澡。</w:t>
            </w:r>
          </w:p>
        </w:tc>
        <w:tc>
          <w:tcPr>
            <w:tcW w:w="0" w:type="auto"/>
            <w:vMerge w:val="continue"/>
          </w:tcPr>
          <w:p w14:paraId="0F9BC4D4">
            <w:pPr>
              <w:widowControl/>
              <w:numPr>
                <w:ilvl w:val="255"/>
                <w:numId w:val="0"/>
              </w:numPr>
              <w:spacing w:line="400" w:lineRule="exact"/>
              <w:rPr>
                <w:rFonts w:ascii="宋体" w:hAnsi="宋体" w:eastAsia="宋体" w:cs="宋体"/>
                <w:sz w:val="20"/>
                <w:szCs w:val="20"/>
              </w:rPr>
            </w:pPr>
          </w:p>
        </w:tc>
      </w:tr>
      <w:tr w14:paraId="4310504C">
        <w:trPr>
          <w:trHeight w:val="90" w:hRule="atLeast"/>
        </w:trPr>
        <w:tc>
          <w:tcPr>
            <w:tcW w:w="0" w:type="auto"/>
            <w:vMerge w:val="continue"/>
          </w:tcPr>
          <w:p w14:paraId="1237A284">
            <w:pPr>
              <w:widowControl/>
              <w:numPr>
                <w:ilvl w:val="255"/>
                <w:numId w:val="0"/>
              </w:numPr>
              <w:spacing w:line="400" w:lineRule="exact"/>
              <w:rPr>
                <w:rFonts w:ascii="宋体" w:hAnsi="宋体" w:eastAsia="宋体" w:cs="宋体"/>
                <w:sz w:val="20"/>
                <w:szCs w:val="20"/>
              </w:rPr>
            </w:pPr>
          </w:p>
        </w:tc>
        <w:tc>
          <w:tcPr>
            <w:tcW w:w="0" w:type="auto"/>
          </w:tcPr>
          <w:p w14:paraId="7B625ED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根据患儿情况选择合适的清洗溶液：温开水0.9%</w:t>
            </w:r>
            <w:r>
              <w:rPr>
                <w:rFonts w:ascii="宋体" w:hAnsi="宋体" w:eastAsia="宋体" w:cs="宋体"/>
                <w:sz w:val="20"/>
                <w:szCs w:val="20"/>
              </w:rPr>
              <w:t>盐水</w:t>
            </w:r>
            <w:r>
              <w:rPr>
                <w:rFonts w:hint="eastAsia" w:ascii="宋体" w:hAnsi="宋体" w:eastAsia="宋体" w:cs="宋体"/>
                <w:sz w:val="20"/>
                <w:szCs w:val="20"/>
              </w:rPr>
              <w:t>或稀释的次氯酸钠</w:t>
            </w:r>
            <w:r>
              <w:rPr>
                <w:rFonts w:hint="eastAsia" w:ascii="宋体" w:hAnsi="宋体" w:eastAsia="宋体" w:cs="宋体"/>
                <w:sz w:val="20"/>
                <w:szCs w:val="20"/>
                <w:lang w:eastAsia="zh-CN"/>
              </w:rPr>
              <w:t>（</w:t>
            </w:r>
            <w:r>
              <w:rPr>
                <w:rFonts w:hint="eastAsia" w:ascii="宋体" w:hAnsi="宋体" w:eastAsia="宋体" w:cs="宋体"/>
                <w:sz w:val="20"/>
                <w:szCs w:val="20"/>
              </w:rPr>
              <w:t>1岁以下婴幼儿禁止使用</w:t>
            </w:r>
            <w:r>
              <w:rPr>
                <w:rFonts w:ascii="宋体" w:hAnsi="宋体" w:eastAsia="宋体" w:cs="宋体"/>
                <w:sz w:val="20"/>
                <w:szCs w:val="20"/>
              </w:rPr>
              <w:t>），每周最多</w:t>
            </w:r>
            <w:r>
              <w:rPr>
                <w:rFonts w:hint="eastAsia" w:ascii="宋体" w:hAnsi="宋体" w:eastAsia="宋体" w:cs="宋体"/>
                <w:sz w:val="20"/>
                <w:szCs w:val="20"/>
              </w:rPr>
              <w:t>使用2次次氯酸钠</w:t>
            </w:r>
            <w:r>
              <w:rPr>
                <w:rFonts w:ascii="宋体" w:hAnsi="宋体" w:eastAsia="宋体" w:cs="宋体"/>
                <w:sz w:val="20"/>
                <w:szCs w:val="20"/>
              </w:rPr>
              <w:t>。</w:t>
            </w:r>
          </w:p>
          <w:p w14:paraId="07DE5E57">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稀释次氯酸钠：</w:t>
            </w:r>
            <w:r>
              <w:rPr>
                <w:rFonts w:ascii="宋体" w:hAnsi="宋体" w:eastAsia="宋体" w:cs="宋体"/>
                <w:sz w:val="20"/>
                <w:szCs w:val="20"/>
              </w:rPr>
              <w:t>15L</w:t>
            </w:r>
            <w:r>
              <w:rPr>
                <w:rFonts w:hint="eastAsia" w:ascii="宋体" w:hAnsi="宋体" w:eastAsia="宋体" w:cs="宋体"/>
                <w:sz w:val="20"/>
                <w:szCs w:val="20"/>
              </w:rPr>
              <w:t>水</w:t>
            </w:r>
            <w:r>
              <w:rPr>
                <w:rFonts w:ascii="宋体" w:hAnsi="宋体" w:eastAsia="宋体" w:cs="宋体"/>
                <w:sz w:val="20"/>
                <w:szCs w:val="20"/>
              </w:rPr>
              <w:t>+30ml浓度为2.1%</w:t>
            </w:r>
            <w:r>
              <w:rPr>
                <w:rFonts w:hint="eastAsia" w:ascii="宋体" w:hAnsi="宋体" w:eastAsia="宋体" w:cs="宋体"/>
                <w:sz w:val="20"/>
                <w:szCs w:val="20"/>
              </w:rPr>
              <w:t>次氯酸钠</w:t>
            </w:r>
          </w:p>
        </w:tc>
        <w:tc>
          <w:tcPr>
            <w:tcW w:w="0" w:type="auto"/>
            <w:vMerge w:val="continue"/>
          </w:tcPr>
          <w:p w14:paraId="78D5F476">
            <w:pPr>
              <w:widowControl/>
              <w:numPr>
                <w:ilvl w:val="255"/>
                <w:numId w:val="0"/>
              </w:numPr>
              <w:spacing w:line="400" w:lineRule="exact"/>
              <w:rPr>
                <w:rFonts w:ascii="宋体" w:hAnsi="宋体" w:eastAsia="宋体" w:cs="宋体"/>
                <w:sz w:val="20"/>
                <w:szCs w:val="20"/>
              </w:rPr>
            </w:pPr>
          </w:p>
        </w:tc>
      </w:tr>
      <w:tr w14:paraId="18153DD1">
        <w:trPr>
          <w:trHeight w:val="208" w:hRule="atLeast"/>
        </w:trPr>
        <w:tc>
          <w:tcPr>
            <w:tcW w:w="0" w:type="auto"/>
            <w:vMerge w:val="continue"/>
          </w:tcPr>
          <w:p w14:paraId="63E54FFE">
            <w:pPr>
              <w:widowControl/>
              <w:numPr>
                <w:ilvl w:val="255"/>
                <w:numId w:val="0"/>
              </w:numPr>
              <w:spacing w:line="400" w:lineRule="exact"/>
              <w:rPr>
                <w:rFonts w:ascii="宋体" w:hAnsi="宋体" w:eastAsia="宋体" w:cs="宋体"/>
                <w:sz w:val="20"/>
                <w:szCs w:val="20"/>
              </w:rPr>
            </w:pPr>
          </w:p>
        </w:tc>
        <w:tc>
          <w:tcPr>
            <w:tcW w:w="0" w:type="auto"/>
          </w:tcPr>
          <w:p w14:paraId="6F3AC20D">
            <w:pPr>
              <w:widowControl/>
              <w:numPr>
                <w:ilvl w:val="255"/>
                <w:numId w:val="0"/>
              </w:numPr>
              <w:spacing w:line="400" w:lineRule="exact"/>
              <w:rPr>
                <w:rFonts w:ascii="宋体" w:hAnsi="宋体" w:eastAsia="宋体" w:cs="宋体"/>
                <w:sz w:val="20"/>
                <w:szCs w:val="20"/>
              </w:rPr>
            </w:pPr>
            <w:r>
              <w:rPr>
                <w:rFonts w:ascii="宋体" w:hAnsi="宋体" w:eastAsia="宋体" w:cs="宋体"/>
                <w:sz w:val="20"/>
                <w:szCs w:val="20"/>
              </w:rPr>
              <w:t>若使用稀释</w:t>
            </w:r>
            <w:r>
              <w:rPr>
                <w:rFonts w:hint="eastAsia" w:ascii="宋体" w:hAnsi="宋体" w:eastAsia="宋体" w:cs="宋体"/>
                <w:sz w:val="20"/>
                <w:szCs w:val="20"/>
              </w:rPr>
              <w:t>次氯酸钠沐浴，应在</w:t>
            </w:r>
            <w:r>
              <w:rPr>
                <w:rFonts w:ascii="宋体" w:hAnsi="宋体" w:eastAsia="宋体" w:cs="宋体"/>
                <w:sz w:val="20"/>
                <w:szCs w:val="20"/>
              </w:rPr>
              <w:t>10-15分钟后立即用清水冲洗干净</w:t>
            </w:r>
            <w:r>
              <w:rPr>
                <w:rFonts w:hint="eastAsia" w:ascii="宋体" w:hAnsi="宋体" w:eastAsia="宋体" w:cs="宋体"/>
                <w:sz w:val="20"/>
                <w:szCs w:val="20"/>
              </w:rPr>
              <w:t>，</w:t>
            </w:r>
            <w:r>
              <w:rPr>
                <w:rFonts w:ascii="宋体" w:hAnsi="宋体" w:eastAsia="宋体" w:cs="宋体"/>
                <w:sz w:val="20"/>
                <w:szCs w:val="20"/>
              </w:rPr>
              <w:t>注意避免接触眼睛及口腔</w:t>
            </w:r>
            <w:r>
              <w:rPr>
                <w:rFonts w:hint="eastAsia" w:ascii="宋体" w:hAnsi="宋体" w:eastAsia="宋体" w:cs="宋体"/>
                <w:sz w:val="20"/>
                <w:szCs w:val="20"/>
              </w:rPr>
              <w:t>；</w:t>
            </w:r>
          </w:p>
        </w:tc>
        <w:tc>
          <w:tcPr>
            <w:tcW w:w="0" w:type="auto"/>
            <w:vMerge w:val="continue"/>
          </w:tcPr>
          <w:p w14:paraId="3C335373">
            <w:pPr>
              <w:widowControl/>
              <w:numPr>
                <w:ilvl w:val="255"/>
                <w:numId w:val="0"/>
              </w:numPr>
              <w:spacing w:line="400" w:lineRule="exact"/>
              <w:rPr>
                <w:rFonts w:ascii="宋体" w:hAnsi="宋体" w:eastAsia="宋体" w:cs="宋体"/>
                <w:sz w:val="20"/>
                <w:szCs w:val="20"/>
              </w:rPr>
            </w:pPr>
          </w:p>
        </w:tc>
      </w:tr>
      <w:tr w14:paraId="71DBEA98">
        <w:trPr>
          <w:trHeight w:val="208" w:hRule="atLeast"/>
        </w:trPr>
        <w:tc>
          <w:tcPr>
            <w:tcW w:w="0" w:type="auto"/>
            <w:vMerge w:val="continue"/>
          </w:tcPr>
          <w:p w14:paraId="01F14901">
            <w:pPr>
              <w:widowControl/>
              <w:numPr>
                <w:ilvl w:val="255"/>
                <w:numId w:val="0"/>
              </w:numPr>
              <w:spacing w:line="400" w:lineRule="exact"/>
              <w:rPr>
                <w:rFonts w:ascii="宋体" w:hAnsi="宋体" w:eastAsia="宋体" w:cs="宋体"/>
                <w:sz w:val="20"/>
                <w:szCs w:val="20"/>
              </w:rPr>
            </w:pPr>
          </w:p>
        </w:tc>
        <w:tc>
          <w:tcPr>
            <w:tcW w:w="0" w:type="auto"/>
          </w:tcPr>
          <w:p w14:paraId="208A692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洗澡后使用柔软的毛巾将身体轻轻拍干或吸干身体表面水分后，立即使用无香料、低敏护肤产品如凡士林，尽可能沿着同一个方向平滑涂抹保湿霜，避免抹在开放性伤口上。不建议使用</w:t>
            </w:r>
            <w:r>
              <w:rPr>
                <w:rFonts w:hint="eastAsia" w:ascii="宋体" w:hAnsi="宋体" w:eastAsia="宋体" w:cs="宋体"/>
                <w:sz w:val="20"/>
                <w:szCs w:val="20"/>
                <w:lang w:val="en-US" w:eastAsia="zh-CN"/>
              </w:rPr>
              <w:t>含有</w:t>
            </w:r>
            <w:r>
              <w:rPr>
                <w:rFonts w:hint="eastAsia" w:ascii="宋体" w:hAnsi="宋体" w:eastAsia="宋体" w:cs="宋体"/>
                <w:sz w:val="20"/>
                <w:szCs w:val="20"/>
              </w:rPr>
              <w:t>刺激性表面活性剂（如十二烷基硫酸钠）成分的保湿霜。</w:t>
            </w:r>
          </w:p>
        </w:tc>
        <w:tc>
          <w:tcPr>
            <w:tcW w:w="0" w:type="auto"/>
            <w:vMerge w:val="continue"/>
          </w:tcPr>
          <w:p w14:paraId="78F1DDEE">
            <w:pPr>
              <w:widowControl/>
              <w:numPr>
                <w:ilvl w:val="255"/>
                <w:numId w:val="0"/>
              </w:numPr>
              <w:spacing w:line="400" w:lineRule="exact"/>
              <w:rPr>
                <w:rFonts w:ascii="宋体" w:hAnsi="宋体" w:eastAsia="宋体" w:cs="宋体"/>
                <w:sz w:val="20"/>
                <w:szCs w:val="20"/>
              </w:rPr>
            </w:pPr>
          </w:p>
        </w:tc>
      </w:tr>
      <w:tr w14:paraId="1A7040BB">
        <w:trPr>
          <w:trHeight w:val="124" w:hRule="atLeast"/>
        </w:trPr>
        <w:tc>
          <w:tcPr>
            <w:tcW w:w="0" w:type="auto"/>
            <w:vMerge w:val="restart"/>
          </w:tcPr>
          <w:p w14:paraId="1CC3C21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1.4皮肤保护</w:t>
            </w:r>
          </w:p>
        </w:tc>
        <w:tc>
          <w:tcPr>
            <w:tcW w:w="0" w:type="auto"/>
          </w:tcPr>
          <w:p w14:paraId="1CF952A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照护者在日常生活可选择使用纯棉可洗尿布，或剪掉一次性尿片的内部松紧带及魔术贴部分以减少摩擦。</w:t>
            </w:r>
          </w:p>
        </w:tc>
        <w:tc>
          <w:tcPr>
            <w:tcW w:w="0" w:type="auto"/>
            <w:vMerge w:val="restart"/>
          </w:tcPr>
          <w:p w14:paraId="23E4C54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tc>
      </w:tr>
      <w:tr w14:paraId="623C94F4">
        <w:trPr>
          <w:trHeight w:val="124" w:hRule="atLeast"/>
        </w:trPr>
        <w:tc>
          <w:tcPr>
            <w:tcW w:w="0" w:type="auto"/>
            <w:vMerge w:val="continue"/>
          </w:tcPr>
          <w:p w14:paraId="5F7011E9">
            <w:pPr>
              <w:widowControl/>
              <w:numPr>
                <w:ilvl w:val="255"/>
                <w:numId w:val="0"/>
              </w:numPr>
              <w:spacing w:line="400" w:lineRule="exact"/>
              <w:rPr>
                <w:rFonts w:ascii="宋体" w:hAnsi="宋体" w:eastAsia="宋体" w:cs="宋体"/>
                <w:sz w:val="20"/>
                <w:szCs w:val="20"/>
              </w:rPr>
            </w:pPr>
          </w:p>
        </w:tc>
        <w:tc>
          <w:tcPr>
            <w:tcW w:w="0" w:type="auto"/>
          </w:tcPr>
          <w:p w14:paraId="696BF88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可通过给婴幼儿穿上衣物或使用弹性绷带和筒状弹性绷带包扎来防止踢腿或摩擦引起的皮肤自伤。</w:t>
            </w:r>
          </w:p>
        </w:tc>
        <w:tc>
          <w:tcPr>
            <w:tcW w:w="0" w:type="auto"/>
            <w:vMerge w:val="continue"/>
          </w:tcPr>
          <w:p w14:paraId="6E2A278F">
            <w:pPr>
              <w:widowControl/>
              <w:numPr>
                <w:ilvl w:val="255"/>
                <w:numId w:val="0"/>
              </w:numPr>
              <w:spacing w:line="400" w:lineRule="exact"/>
              <w:rPr>
                <w:rFonts w:ascii="宋体" w:hAnsi="宋体" w:eastAsia="宋体" w:cs="宋体"/>
                <w:sz w:val="20"/>
                <w:szCs w:val="20"/>
              </w:rPr>
            </w:pPr>
          </w:p>
        </w:tc>
      </w:tr>
      <w:tr w14:paraId="25E93C14">
        <w:trPr>
          <w:trHeight w:val="124" w:hRule="atLeast"/>
        </w:trPr>
        <w:tc>
          <w:tcPr>
            <w:tcW w:w="0" w:type="auto"/>
            <w:vMerge w:val="continue"/>
          </w:tcPr>
          <w:p w14:paraId="492B4628">
            <w:pPr>
              <w:widowControl/>
              <w:numPr>
                <w:ilvl w:val="255"/>
                <w:numId w:val="0"/>
              </w:numPr>
              <w:spacing w:line="400" w:lineRule="exact"/>
              <w:rPr>
                <w:rFonts w:ascii="宋体" w:hAnsi="宋体" w:eastAsia="宋体" w:cs="宋体"/>
                <w:sz w:val="20"/>
                <w:szCs w:val="20"/>
              </w:rPr>
            </w:pPr>
          </w:p>
        </w:tc>
        <w:tc>
          <w:tcPr>
            <w:tcW w:w="0" w:type="auto"/>
          </w:tcPr>
          <w:p w14:paraId="1C2F4D7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可通过给患儿</w:t>
            </w:r>
            <w:r>
              <w:rPr>
                <w:rFonts w:ascii="宋体" w:hAnsi="宋体" w:eastAsia="宋体" w:cs="宋体"/>
                <w:sz w:val="20"/>
                <w:szCs w:val="20"/>
              </w:rPr>
              <w:t>佩戴手套</w:t>
            </w:r>
            <w:r>
              <w:rPr>
                <w:rFonts w:hint="eastAsia" w:ascii="宋体" w:hAnsi="宋体" w:eastAsia="宋体" w:cs="宋体"/>
                <w:sz w:val="20"/>
                <w:szCs w:val="20"/>
              </w:rPr>
              <w:t>、夜里看护、使用弹力绷带等方式保护患儿无意识的抓挠。</w:t>
            </w:r>
          </w:p>
        </w:tc>
        <w:tc>
          <w:tcPr>
            <w:tcW w:w="0" w:type="auto"/>
            <w:vMerge w:val="continue"/>
          </w:tcPr>
          <w:p w14:paraId="5DBC8FE5">
            <w:pPr>
              <w:widowControl/>
              <w:numPr>
                <w:ilvl w:val="255"/>
                <w:numId w:val="0"/>
              </w:numPr>
              <w:spacing w:line="400" w:lineRule="exact"/>
              <w:rPr>
                <w:rFonts w:ascii="宋体" w:hAnsi="宋体" w:eastAsia="宋体" w:cs="宋体"/>
                <w:sz w:val="20"/>
                <w:szCs w:val="20"/>
              </w:rPr>
            </w:pPr>
          </w:p>
        </w:tc>
      </w:tr>
      <w:tr w14:paraId="45AC6633">
        <w:trPr>
          <w:trHeight w:val="124" w:hRule="atLeast"/>
        </w:trPr>
        <w:tc>
          <w:tcPr>
            <w:tcW w:w="0" w:type="auto"/>
            <w:vMerge w:val="continue"/>
          </w:tcPr>
          <w:p w14:paraId="7FB296B7">
            <w:pPr>
              <w:widowControl/>
              <w:numPr>
                <w:ilvl w:val="255"/>
                <w:numId w:val="0"/>
              </w:numPr>
              <w:spacing w:line="400" w:lineRule="exact"/>
              <w:rPr>
                <w:rFonts w:ascii="宋体" w:hAnsi="宋体" w:eastAsia="宋体" w:cs="宋体"/>
                <w:sz w:val="20"/>
                <w:szCs w:val="20"/>
              </w:rPr>
            </w:pPr>
          </w:p>
        </w:tc>
        <w:tc>
          <w:tcPr>
            <w:tcW w:w="0" w:type="auto"/>
          </w:tcPr>
          <w:p w14:paraId="014CE75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照护者应掌握特殊时期患儿的活动保护，爬行期用泡沐敷料或者柔软的纱布保护膝盖、手部、双肘等。学步期患儿做好头部、臀部等部位的保护。</w:t>
            </w:r>
          </w:p>
        </w:tc>
        <w:tc>
          <w:tcPr>
            <w:tcW w:w="0" w:type="auto"/>
            <w:vMerge w:val="continue"/>
          </w:tcPr>
          <w:p w14:paraId="7E52B310">
            <w:pPr>
              <w:widowControl/>
              <w:numPr>
                <w:ilvl w:val="255"/>
                <w:numId w:val="0"/>
              </w:numPr>
              <w:spacing w:line="400" w:lineRule="exact"/>
              <w:rPr>
                <w:rFonts w:ascii="宋体" w:hAnsi="宋体" w:eastAsia="宋体" w:cs="宋体"/>
                <w:sz w:val="20"/>
                <w:szCs w:val="20"/>
              </w:rPr>
            </w:pPr>
          </w:p>
        </w:tc>
      </w:tr>
      <w:tr w14:paraId="0531B29E">
        <w:trPr>
          <w:trHeight w:val="124" w:hRule="atLeast"/>
        </w:trPr>
        <w:tc>
          <w:tcPr>
            <w:tcW w:w="0" w:type="auto"/>
            <w:vMerge w:val="continue"/>
          </w:tcPr>
          <w:p w14:paraId="01D97B70">
            <w:pPr>
              <w:widowControl/>
              <w:numPr>
                <w:ilvl w:val="255"/>
                <w:numId w:val="0"/>
              </w:numPr>
              <w:spacing w:line="400" w:lineRule="exact"/>
              <w:rPr>
                <w:rFonts w:ascii="宋体" w:hAnsi="宋体" w:eastAsia="宋体" w:cs="宋体"/>
                <w:sz w:val="20"/>
                <w:szCs w:val="20"/>
              </w:rPr>
            </w:pPr>
          </w:p>
        </w:tc>
        <w:tc>
          <w:tcPr>
            <w:tcW w:w="0" w:type="auto"/>
          </w:tcPr>
          <w:p w14:paraId="0F61210D">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对于金德乐综合症患儿，需早期做好防晒措施，可通过佩戴防晒帽，遮阳伞等物理防晒，或在日晒前15-30分钟涂抹足量的防晒霜，小于6个月的患儿应使用物理防晒。</w:t>
            </w:r>
          </w:p>
        </w:tc>
        <w:tc>
          <w:tcPr>
            <w:tcW w:w="0" w:type="auto"/>
            <w:vMerge w:val="continue"/>
          </w:tcPr>
          <w:p w14:paraId="1C3DAD65">
            <w:pPr>
              <w:widowControl/>
              <w:numPr>
                <w:ilvl w:val="255"/>
                <w:numId w:val="0"/>
              </w:numPr>
              <w:spacing w:line="400" w:lineRule="exact"/>
              <w:rPr>
                <w:rFonts w:ascii="宋体" w:hAnsi="宋体" w:eastAsia="宋体" w:cs="宋体"/>
                <w:sz w:val="20"/>
                <w:szCs w:val="20"/>
              </w:rPr>
            </w:pPr>
          </w:p>
        </w:tc>
      </w:tr>
      <w:tr w14:paraId="0F2550C8">
        <w:trPr>
          <w:trHeight w:val="845" w:hRule="atLeast"/>
        </w:trPr>
        <w:tc>
          <w:tcPr>
            <w:tcW w:w="0" w:type="auto"/>
            <w:vMerge w:val="restart"/>
          </w:tcPr>
          <w:p w14:paraId="5E9E105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1.5皮肤瘙痒</w:t>
            </w:r>
          </w:p>
        </w:tc>
        <w:tc>
          <w:tcPr>
            <w:tcW w:w="0" w:type="auto"/>
          </w:tcPr>
          <w:p w14:paraId="76AD9BD4"/>
          <w:p w14:paraId="335BB4C0">
            <w:pPr>
              <w:widowControl/>
              <w:numPr>
                <w:ilvl w:val="255"/>
                <w:numId w:val="0"/>
              </w:numPr>
              <w:spacing w:line="400" w:lineRule="exact"/>
              <w:rPr>
                <w:rFonts w:hint="eastAsia" w:ascii="宋体" w:hAnsi="宋体" w:eastAsia="宋体" w:cs="宋体"/>
                <w:sz w:val="20"/>
                <w:szCs w:val="20"/>
              </w:rPr>
            </w:pPr>
            <w:r>
              <w:rPr>
                <w:rFonts w:hint="eastAsia" w:ascii="宋体" w:hAnsi="宋体" w:eastAsia="宋体" w:cs="宋体"/>
                <w:sz w:val="20"/>
                <w:szCs w:val="20"/>
              </w:rPr>
              <w:t>照护者应指导患儿使用放松练习、转移注意力、深呼吸等方式来降低情感因素造成的瘙痒。</w:t>
            </w:r>
          </w:p>
        </w:tc>
        <w:tc>
          <w:tcPr>
            <w:tcW w:w="0" w:type="auto"/>
            <w:vMerge w:val="restart"/>
          </w:tcPr>
          <w:p w14:paraId="3D26A8C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科普图文、专家讲座</w:t>
            </w:r>
          </w:p>
        </w:tc>
      </w:tr>
      <w:tr w14:paraId="34474B63">
        <w:trPr>
          <w:trHeight w:val="208" w:hRule="atLeast"/>
        </w:trPr>
        <w:tc>
          <w:tcPr>
            <w:tcW w:w="0" w:type="auto"/>
            <w:vMerge w:val="continue"/>
          </w:tcPr>
          <w:p w14:paraId="73ED5704">
            <w:pPr>
              <w:widowControl/>
              <w:numPr>
                <w:ilvl w:val="255"/>
                <w:numId w:val="0"/>
              </w:numPr>
              <w:spacing w:line="400" w:lineRule="exact"/>
              <w:rPr>
                <w:rFonts w:ascii="宋体" w:hAnsi="宋体" w:eastAsia="宋体" w:cs="宋体"/>
                <w:sz w:val="20"/>
                <w:szCs w:val="20"/>
              </w:rPr>
            </w:pPr>
          </w:p>
        </w:tc>
        <w:tc>
          <w:tcPr>
            <w:tcW w:w="0" w:type="auto"/>
          </w:tcPr>
          <w:p w14:paraId="1C41F3D4">
            <w:pPr>
              <w:widowControl/>
              <w:numPr>
                <w:ilvl w:val="255"/>
                <w:numId w:val="0"/>
              </w:numPr>
              <w:spacing w:line="400" w:lineRule="exact"/>
              <w:rPr>
                <w:rFonts w:hint="eastAsia" w:ascii="宋体" w:hAnsi="宋体" w:eastAsia="宋体" w:cs="宋体"/>
                <w:sz w:val="20"/>
                <w:szCs w:val="20"/>
              </w:rPr>
            </w:pPr>
            <w:r>
              <w:rPr>
                <w:rFonts w:hint="eastAsia" w:ascii="宋体" w:hAnsi="宋体" w:eastAsia="宋体" w:cs="宋体"/>
                <w:sz w:val="20"/>
                <w:szCs w:val="20"/>
              </w:rPr>
              <w:t>夏日可将润肤产品放置冰箱降低温度后使用，可缓解皮肤瘙痒。</w:t>
            </w:r>
          </w:p>
        </w:tc>
        <w:tc>
          <w:tcPr>
            <w:tcW w:w="0" w:type="auto"/>
            <w:vMerge w:val="continue"/>
          </w:tcPr>
          <w:p w14:paraId="5591D89A">
            <w:pPr>
              <w:widowControl/>
              <w:numPr>
                <w:ilvl w:val="255"/>
                <w:numId w:val="0"/>
              </w:numPr>
              <w:spacing w:line="400" w:lineRule="exact"/>
              <w:rPr>
                <w:rFonts w:ascii="宋体" w:hAnsi="宋体" w:eastAsia="宋体" w:cs="宋体"/>
                <w:sz w:val="20"/>
                <w:szCs w:val="20"/>
              </w:rPr>
            </w:pPr>
          </w:p>
        </w:tc>
      </w:tr>
      <w:tr w14:paraId="516175E3">
        <w:trPr>
          <w:trHeight w:val="208" w:hRule="atLeast"/>
        </w:trPr>
        <w:tc>
          <w:tcPr>
            <w:tcW w:w="0" w:type="auto"/>
            <w:vMerge w:val="continue"/>
          </w:tcPr>
          <w:p w14:paraId="212B5594">
            <w:pPr>
              <w:widowControl/>
              <w:numPr>
                <w:ilvl w:val="255"/>
                <w:numId w:val="0"/>
              </w:numPr>
              <w:spacing w:line="400" w:lineRule="exact"/>
              <w:rPr>
                <w:rFonts w:ascii="宋体" w:hAnsi="宋体" w:eastAsia="宋体" w:cs="宋体"/>
                <w:sz w:val="20"/>
                <w:szCs w:val="20"/>
              </w:rPr>
            </w:pPr>
          </w:p>
        </w:tc>
        <w:tc>
          <w:tcPr>
            <w:tcW w:w="0" w:type="auto"/>
          </w:tcPr>
          <w:p w14:paraId="710BF2C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可使用轻压皮肤或吹气代替挠抓，若确实需要挠抓，使用末端圆形、可接触皮肤的按摩装置。</w:t>
            </w:r>
          </w:p>
        </w:tc>
        <w:tc>
          <w:tcPr>
            <w:tcW w:w="0" w:type="auto"/>
            <w:vMerge w:val="continue"/>
          </w:tcPr>
          <w:p w14:paraId="726CC228">
            <w:pPr>
              <w:widowControl/>
              <w:numPr>
                <w:ilvl w:val="255"/>
                <w:numId w:val="0"/>
              </w:numPr>
              <w:spacing w:line="400" w:lineRule="exact"/>
              <w:rPr>
                <w:rFonts w:ascii="宋体" w:hAnsi="宋体" w:eastAsia="宋体" w:cs="宋体"/>
                <w:sz w:val="20"/>
                <w:szCs w:val="20"/>
              </w:rPr>
            </w:pPr>
          </w:p>
        </w:tc>
      </w:tr>
      <w:tr w14:paraId="6567DC5C">
        <w:trPr>
          <w:trHeight w:val="208" w:hRule="atLeast"/>
        </w:trPr>
        <w:tc>
          <w:tcPr>
            <w:tcW w:w="0" w:type="auto"/>
            <w:vMerge w:val="continue"/>
          </w:tcPr>
          <w:p w14:paraId="22F45AF6">
            <w:pPr>
              <w:widowControl/>
              <w:numPr>
                <w:ilvl w:val="255"/>
                <w:numId w:val="0"/>
              </w:numPr>
              <w:spacing w:line="400" w:lineRule="exact"/>
              <w:rPr>
                <w:rFonts w:ascii="宋体" w:hAnsi="宋体" w:eastAsia="宋体" w:cs="宋体"/>
                <w:sz w:val="20"/>
                <w:szCs w:val="20"/>
              </w:rPr>
            </w:pPr>
          </w:p>
        </w:tc>
        <w:tc>
          <w:tcPr>
            <w:tcW w:w="0" w:type="auto"/>
          </w:tcPr>
          <w:p w14:paraId="13524C8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伤口愈合期间的瘙痒可遵医嘱使用止痒药物；无法控制的瘙痒应及时就医，避免自行用药。</w:t>
            </w:r>
          </w:p>
        </w:tc>
        <w:tc>
          <w:tcPr>
            <w:tcW w:w="0" w:type="auto"/>
            <w:vMerge w:val="continue"/>
          </w:tcPr>
          <w:p w14:paraId="574DF975">
            <w:pPr>
              <w:widowControl/>
              <w:numPr>
                <w:ilvl w:val="255"/>
                <w:numId w:val="0"/>
              </w:numPr>
              <w:spacing w:line="400" w:lineRule="exact"/>
              <w:rPr>
                <w:rFonts w:ascii="宋体" w:hAnsi="宋体" w:eastAsia="宋体" w:cs="宋体"/>
                <w:sz w:val="20"/>
                <w:szCs w:val="20"/>
              </w:rPr>
            </w:pPr>
          </w:p>
        </w:tc>
      </w:tr>
      <w:tr w14:paraId="44D7E344">
        <w:trPr>
          <w:trHeight w:val="208" w:hRule="atLeast"/>
        </w:trPr>
        <w:tc>
          <w:tcPr>
            <w:tcW w:w="0" w:type="auto"/>
            <w:vMerge w:val="restart"/>
          </w:tcPr>
          <w:p w14:paraId="5C7DB3F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1.6衣物选择</w:t>
            </w:r>
          </w:p>
        </w:tc>
        <w:tc>
          <w:tcPr>
            <w:tcW w:w="0" w:type="auto"/>
          </w:tcPr>
          <w:p w14:paraId="5D6E4FA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掌握合适衣物的选择方式。具体为避免选择毛料衣物及含麻材质的衣物，应选择棉质或者丝质，柔软、无松紧带、扣子、商标、接缝处无隆起的宽松衣物；将衣服反穿，剪除衣物标签，减少对皮肤的机械摩擦。</w:t>
            </w:r>
          </w:p>
        </w:tc>
        <w:tc>
          <w:tcPr>
            <w:tcW w:w="0" w:type="auto"/>
            <w:vMerge w:val="restart"/>
          </w:tcPr>
          <w:p w14:paraId="6BF22DE7">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tc>
      </w:tr>
      <w:tr w14:paraId="37F39739">
        <w:trPr>
          <w:trHeight w:val="208" w:hRule="atLeast"/>
        </w:trPr>
        <w:tc>
          <w:tcPr>
            <w:tcW w:w="0" w:type="auto"/>
            <w:vMerge w:val="continue"/>
          </w:tcPr>
          <w:p w14:paraId="29367435">
            <w:pPr>
              <w:widowControl/>
              <w:numPr>
                <w:ilvl w:val="255"/>
                <w:numId w:val="0"/>
              </w:numPr>
              <w:spacing w:line="400" w:lineRule="exact"/>
              <w:rPr>
                <w:rFonts w:ascii="宋体" w:hAnsi="宋体" w:eastAsia="宋体" w:cs="宋体"/>
                <w:sz w:val="20"/>
                <w:szCs w:val="20"/>
              </w:rPr>
            </w:pPr>
          </w:p>
        </w:tc>
        <w:tc>
          <w:tcPr>
            <w:tcW w:w="0" w:type="auto"/>
          </w:tcPr>
          <w:p w14:paraId="2914DA3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应选择没有隆起接缝的袜子，可选择银纤维袜、竹纤维袜、双层袜等。</w:t>
            </w:r>
          </w:p>
        </w:tc>
        <w:tc>
          <w:tcPr>
            <w:tcW w:w="0" w:type="auto"/>
            <w:vMerge w:val="continue"/>
          </w:tcPr>
          <w:p w14:paraId="2003417A">
            <w:pPr>
              <w:widowControl/>
              <w:numPr>
                <w:ilvl w:val="255"/>
                <w:numId w:val="0"/>
              </w:numPr>
              <w:spacing w:line="400" w:lineRule="exact"/>
              <w:rPr>
                <w:rFonts w:ascii="宋体" w:hAnsi="宋体" w:eastAsia="宋体" w:cs="宋体"/>
                <w:sz w:val="20"/>
                <w:szCs w:val="20"/>
              </w:rPr>
            </w:pPr>
          </w:p>
        </w:tc>
      </w:tr>
      <w:tr w14:paraId="64FC767E">
        <w:trPr>
          <w:trHeight w:val="208" w:hRule="atLeast"/>
        </w:trPr>
        <w:tc>
          <w:tcPr>
            <w:tcW w:w="0" w:type="auto"/>
            <w:vMerge w:val="continue"/>
          </w:tcPr>
          <w:p w14:paraId="16FD3E80">
            <w:pPr>
              <w:widowControl/>
              <w:numPr>
                <w:ilvl w:val="255"/>
                <w:numId w:val="0"/>
              </w:numPr>
              <w:spacing w:line="400" w:lineRule="exact"/>
              <w:rPr>
                <w:rFonts w:ascii="宋体" w:hAnsi="宋体" w:eastAsia="宋体" w:cs="宋体"/>
                <w:sz w:val="20"/>
                <w:szCs w:val="20"/>
              </w:rPr>
            </w:pPr>
          </w:p>
        </w:tc>
        <w:tc>
          <w:tcPr>
            <w:tcW w:w="0" w:type="auto"/>
          </w:tcPr>
          <w:p w14:paraId="0C53715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选择的鞋应具有以下特征：长宽合适（最长的脚趾前面至少有6毫米空间），鞋头为圆形，趾头处有充裕的空间，有防滑的鞋带或粘扣、搭钩款式，鞋内部较平或没有接缝；鞋子内部可增加鞋垫，适当缓解摩擦力和剪切力，以踩到石子不硌脚底为宜。</w:t>
            </w:r>
          </w:p>
        </w:tc>
        <w:tc>
          <w:tcPr>
            <w:tcW w:w="0" w:type="auto"/>
            <w:vMerge w:val="continue"/>
          </w:tcPr>
          <w:p w14:paraId="78300353">
            <w:pPr>
              <w:widowControl/>
              <w:numPr>
                <w:ilvl w:val="255"/>
                <w:numId w:val="0"/>
              </w:numPr>
              <w:spacing w:line="400" w:lineRule="exact"/>
              <w:rPr>
                <w:rFonts w:ascii="宋体" w:hAnsi="宋体" w:eastAsia="宋体" w:cs="宋体"/>
                <w:sz w:val="20"/>
                <w:szCs w:val="20"/>
              </w:rPr>
            </w:pPr>
          </w:p>
        </w:tc>
      </w:tr>
      <w:tr w14:paraId="7A7722F7">
        <w:tc>
          <w:tcPr>
            <w:tcW w:w="0" w:type="auto"/>
            <w:tcBorders>
              <w:bottom w:val="single" w:color="auto" w:sz="12" w:space="0"/>
            </w:tcBorders>
          </w:tcPr>
          <w:p w14:paraId="445ABCD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1.7体位改变</w:t>
            </w:r>
          </w:p>
        </w:tc>
        <w:tc>
          <w:tcPr>
            <w:tcW w:w="0" w:type="auto"/>
            <w:tcBorders>
              <w:bottom w:val="single" w:color="auto" w:sz="12" w:space="0"/>
            </w:tcBorders>
          </w:tcPr>
          <w:p w14:paraId="680AF0E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掌握转移患儿的方式。具体为新生儿应借助软垫或厚泡沫垫来转移患儿，如从床上转移到看护者怀里，或使用侧抱技术来转移患儿（先将小孩侧身，一只手托住臀部，另一只手托脖子后面，将患儿躺在照护者手上后再抱起患儿），出行时座椅应加软垫以避免摩擦。</w:t>
            </w:r>
          </w:p>
        </w:tc>
        <w:tc>
          <w:tcPr>
            <w:tcW w:w="0" w:type="auto"/>
            <w:tcBorders>
              <w:bottom w:val="single" w:color="auto" w:sz="12" w:space="0"/>
            </w:tcBorders>
          </w:tcPr>
          <w:p w14:paraId="06C97AC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科普图文、线下示范</w:t>
            </w:r>
          </w:p>
        </w:tc>
      </w:tr>
    </w:tbl>
    <w:p w14:paraId="47854A4D">
      <w:pPr>
        <w:spacing w:line="400" w:lineRule="exact"/>
        <w:rPr>
          <w:rFonts w:ascii="Times New Roman Regular" w:hAnsi="Times New Roman Regular" w:cs="Times New Roman Regular"/>
          <w:b/>
          <w:bCs/>
        </w:rPr>
      </w:pPr>
      <w:r>
        <w:rPr>
          <w:rFonts w:hint="eastAsia" w:ascii="Times New Roman Regular" w:hAnsi="Times New Roman Regular" w:cs="Times New Roman Regular"/>
          <w:b/>
          <w:bCs/>
        </w:rPr>
        <w:t>2.伤口换药护理</w:t>
      </w:r>
    </w:p>
    <w:p w14:paraId="5F804D74">
      <w:pPr>
        <w:spacing w:line="400" w:lineRule="exact"/>
        <w:ind w:firstLine="480" w:firstLineChars="200"/>
        <w:rPr>
          <w:rFonts w:ascii="宋体" w:hAnsi="宋体" w:eastAsia="宋体" w:cs="宋体"/>
        </w:rPr>
      </w:pPr>
      <w:r>
        <w:rPr>
          <w:rFonts w:hint="eastAsia" w:ascii="宋体" w:hAnsi="宋体" w:eastAsia="宋体" w:cs="宋体"/>
          <w:b/>
          <w:bCs/>
        </w:rPr>
        <w:t>能力目标：</w:t>
      </w:r>
      <w:r>
        <w:rPr>
          <w:rFonts w:hint="eastAsia" w:ascii="宋体" w:hAnsi="宋体" w:eastAsia="宋体" w:cs="宋体"/>
        </w:rPr>
        <w:t>照护者能够掌握居家简化“伤口评估三角”方法评估居家伤口，正确选择和应用合适的伤口处理措施，包括判断水疱大小与张力，区分可保留与需处理的水疱、选择合适的清洁溶液进行伤口清洁、根据伤口情况选取合适敷料选择、感染识别及应对等，做到及时发现异常、合理护理及安全转诊，从而促进伤口愈合、减轻疼痛、预防并发症。</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6"/>
        <w:gridCol w:w="6538"/>
        <w:gridCol w:w="1178"/>
      </w:tblGrid>
      <w:tr w14:paraId="7A39CD25">
        <w:trPr>
          <w:tblHeader/>
        </w:trPr>
        <w:tc>
          <w:tcPr>
            <w:tcW w:w="0" w:type="auto"/>
            <w:tcBorders>
              <w:top w:val="single" w:color="auto" w:sz="12" w:space="0"/>
              <w:bottom w:val="single" w:color="auto" w:sz="6" w:space="0"/>
            </w:tcBorders>
          </w:tcPr>
          <w:p w14:paraId="5828410B">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类别</w:t>
            </w:r>
          </w:p>
        </w:tc>
        <w:tc>
          <w:tcPr>
            <w:tcW w:w="6538" w:type="dxa"/>
            <w:tcBorders>
              <w:top w:val="single" w:color="auto" w:sz="12" w:space="0"/>
              <w:bottom w:val="single" w:color="auto" w:sz="6" w:space="0"/>
            </w:tcBorders>
          </w:tcPr>
          <w:p w14:paraId="1B541E09">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具体干预方案内容</w:t>
            </w:r>
          </w:p>
        </w:tc>
        <w:tc>
          <w:tcPr>
            <w:tcW w:w="1178" w:type="dxa"/>
            <w:tcBorders>
              <w:top w:val="single" w:color="auto" w:sz="12" w:space="0"/>
              <w:bottom w:val="single" w:color="auto" w:sz="6" w:space="0"/>
            </w:tcBorders>
          </w:tcPr>
          <w:p w14:paraId="05110D59">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干预形式</w:t>
            </w:r>
          </w:p>
        </w:tc>
      </w:tr>
      <w:tr w14:paraId="62F1BB9D">
        <w:trPr>
          <w:trHeight w:val="419" w:hRule="atLeast"/>
        </w:trPr>
        <w:tc>
          <w:tcPr>
            <w:tcW w:w="0" w:type="auto"/>
            <w:vMerge w:val="restart"/>
            <w:tcBorders>
              <w:top w:val="single" w:color="auto" w:sz="6" w:space="0"/>
            </w:tcBorders>
          </w:tcPr>
          <w:p w14:paraId="167FFF07">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2.1环境及用物准备</w:t>
            </w:r>
          </w:p>
        </w:tc>
        <w:tc>
          <w:tcPr>
            <w:tcW w:w="6538" w:type="dxa"/>
            <w:tcBorders>
              <w:top w:val="single" w:color="auto" w:sz="6" w:space="0"/>
            </w:tcBorders>
          </w:tcPr>
          <w:p w14:paraId="4767695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照护者应选择光线明亮，温湿度适宜的室内环境，换药人员尽量固定。换药前可使用紫外线消毒30-60分钟。</w:t>
            </w:r>
          </w:p>
        </w:tc>
        <w:tc>
          <w:tcPr>
            <w:tcW w:w="1178" w:type="dxa"/>
            <w:vMerge w:val="restart"/>
            <w:tcBorders>
              <w:top w:val="single" w:color="auto" w:sz="6" w:space="0"/>
            </w:tcBorders>
          </w:tcPr>
          <w:p w14:paraId="653FFD9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tc>
      </w:tr>
      <w:tr w14:paraId="75CAB093">
        <w:trPr>
          <w:trHeight w:val="419" w:hRule="atLeast"/>
        </w:trPr>
        <w:tc>
          <w:tcPr>
            <w:tcW w:w="0" w:type="auto"/>
            <w:vMerge w:val="continue"/>
          </w:tcPr>
          <w:p w14:paraId="6EB763BA">
            <w:pPr>
              <w:widowControl/>
              <w:numPr>
                <w:ilvl w:val="255"/>
                <w:numId w:val="0"/>
              </w:numPr>
              <w:spacing w:line="400" w:lineRule="exact"/>
              <w:rPr>
                <w:rFonts w:ascii="宋体" w:hAnsi="宋体" w:eastAsia="宋体" w:cs="宋体"/>
                <w:sz w:val="20"/>
                <w:szCs w:val="20"/>
              </w:rPr>
            </w:pPr>
          </w:p>
        </w:tc>
        <w:tc>
          <w:tcPr>
            <w:tcW w:w="6538" w:type="dxa"/>
          </w:tcPr>
          <w:p w14:paraId="0C79D3C7">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换药前使用消毒液擦拭换药台面，后用清水擦干，放置干净毛巾或一次性无菌垫作为操作面。</w:t>
            </w:r>
          </w:p>
        </w:tc>
        <w:tc>
          <w:tcPr>
            <w:tcW w:w="1178" w:type="dxa"/>
            <w:vMerge w:val="continue"/>
          </w:tcPr>
          <w:p w14:paraId="38BE40DA">
            <w:pPr>
              <w:widowControl/>
              <w:numPr>
                <w:ilvl w:val="255"/>
                <w:numId w:val="0"/>
              </w:numPr>
              <w:spacing w:line="400" w:lineRule="exact"/>
              <w:rPr>
                <w:rFonts w:ascii="宋体" w:hAnsi="宋体" w:eastAsia="宋体" w:cs="宋体"/>
                <w:sz w:val="20"/>
                <w:szCs w:val="20"/>
              </w:rPr>
            </w:pPr>
          </w:p>
        </w:tc>
      </w:tr>
      <w:tr w14:paraId="3A896812">
        <w:trPr>
          <w:trHeight w:val="419" w:hRule="atLeast"/>
        </w:trPr>
        <w:tc>
          <w:tcPr>
            <w:tcW w:w="0" w:type="auto"/>
            <w:vMerge w:val="continue"/>
          </w:tcPr>
          <w:p w14:paraId="7BE4FF3E">
            <w:pPr>
              <w:widowControl/>
              <w:numPr>
                <w:ilvl w:val="255"/>
                <w:numId w:val="0"/>
              </w:numPr>
              <w:spacing w:line="400" w:lineRule="exact"/>
              <w:rPr>
                <w:rFonts w:ascii="宋体" w:hAnsi="宋体" w:eastAsia="宋体" w:cs="宋体"/>
                <w:sz w:val="20"/>
                <w:szCs w:val="20"/>
              </w:rPr>
            </w:pPr>
          </w:p>
        </w:tc>
        <w:tc>
          <w:tcPr>
            <w:tcW w:w="6538" w:type="dxa"/>
          </w:tcPr>
          <w:p w14:paraId="1B20F9D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将所需物品一次性摆好：如无菌敷料（尽量一次性用完，若无法用完注意封闭保存）、针筒、生理盐水、镊子、2把剪刀（一把剪脏的敷料，一把剪无菌敷料）；换药工具提前煮沸或75%的酒精消毒，准备好垃圾桶避免脏敷料污染。</w:t>
            </w:r>
          </w:p>
        </w:tc>
        <w:tc>
          <w:tcPr>
            <w:tcW w:w="1178" w:type="dxa"/>
            <w:vMerge w:val="continue"/>
          </w:tcPr>
          <w:p w14:paraId="5B1E755D">
            <w:pPr>
              <w:widowControl/>
              <w:numPr>
                <w:ilvl w:val="255"/>
                <w:numId w:val="0"/>
              </w:numPr>
              <w:spacing w:line="400" w:lineRule="exact"/>
              <w:rPr>
                <w:rFonts w:ascii="宋体" w:hAnsi="宋体" w:eastAsia="宋体" w:cs="宋体"/>
                <w:sz w:val="20"/>
                <w:szCs w:val="20"/>
              </w:rPr>
            </w:pPr>
          </w:p>
        </w:tc>
      </w:tr>
      <w:tr w14:paraId="785B3B56">
        <w:trPr>
          <w:trHeight w:val="208" w:hRule="atLeast"/>
        </w:trPr>
        <w:tc>
          <w:tcPr>
            <w:tcW w:w="0" w:type="auto"/>
            <w:vMerge w:val="restart"/>
          </w:tcPr>
          <w:p w14:paraId="446A5AF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2.2无菌原则</w:t>
            </w:r>
          </w:p>
        </w:tc>
        <w:tc>
          <w:tcPr>
            <w:tcW w:w="6538" w:type="dxa"/>
          </w:tcPr>
          <w:p w14:paraId="3F30D38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操作者换药前应更换干净衣物，换药过程中需全程佩戴口罩。</w:t>
            </w:r>
          </w:p>
        </w:tc>
        <w:tc>
          <w:tcPr>
            <w:tcW w:w="1178" w:type="dxa"/>
            <w:vMerge w:val="restart"/>
          </w:tcPr>
          <w:p w14:paraId="4F2FD06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tc>
      </w:tr>
      <w:tr w14:paraId="3BDCE37D">
        <w:trPr>
          <w:trHeight w:val="208" w:hRule="atLeast"/>
        </w:trPr>
        <w:tc>
          <w:tcPr>
            <w:tcW w:w="0" w:type="auto"/>
            <w:vMerge w:val="continue"/>
          </w:tcPr>
          <w:p w14:paraId="5F00415C">
            <w:pPr>
              <w:widowControl/>
              <w:numPr>
                <w:ilvl w:val="255"/>
                <w:numId w:val="0"/>
              </w:numPr>
              <w:spacing w:line="400" w:lineRule="exact"/>
              <w:rPr>
                <w:rFonts w:ascii="宋体" w:hAnsi="宋体" w:eastAsia="宋体" w:cs="宋体"/>
                <w:sz w:val="20"/>
                <w:szCs w:val="20"/>
              </w:rPr>
            </w:pPr>
          </w:p>
        </w:tc>
        <w:tc>
          <w:tcPr>
            <w:tcW w:w="6538" w:type="dxa"/>
          </w:tcPr>
          <w:p w14:paraId="27D84EA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应采用流动水+洗手液洗手；换药时若手部直接接触伤口时，需佩戴无菌手套。洗手时机：操作前中后、更换敷料、处理不同伤口前需重新更换手套或洗手。</w:t>
            </w:r>
          </w:p>
        </w:tc>
        <w:tc>
          <w:tcPr>
            <w:tcW w:w="1178" w:type="dxa"/>
            <w:vMerge w:val="continue"/>
          </w:tcPr>
          <w:p w14:paraId="304E032F">
            <w:pPr>
              <w:widowControl/>
              <w:numPr>
                <w:ilvl w:val="255"/>
                <w:numId w:val="0"/>
              </w:numPr>
              <w:spacing w:line="400" w:lineRule="exact"/>
              <w:rPr>
                <w:rFonts w:ascii="宋体" w:hAnsi="宋体" w:eastAsia="宋体" w:cs="宋体"/>
                <w:sz w:val="20"/>
                <w:szCs w:val="20"/>
              </w:rPr>
            </w:pPr>
          </w:p>
        </w:tc>
      </w:tr>
      <w:tr w14:paraId="5A86DC71">
        <w:trPr>
          <w:trHeight w:val="208" w:hRule="atLeast"/>
        </w:trPr>
        <w:tc>
          <w:tcPr>
            <w:tcW w:w="0" w:type="auto"/>
            <w:vMerge w:val="continue"/>
          </w:tcPr>
          <w:p w14:paraId="240FFBD8">
            <w:pPr>
              <w:widowControl/>
              <w:numPr>
                <w:ilvl w:val="255"/>
                <w:numId w:val="0"/>
              </w:numPr>
              <w:spacing w:line="400" w:lineRule="exact"/>
              <w:rPr>
                <w:rFonts w:ascii="宋体" w:hAnsi="宋体" w:eastAsia="宋体" w:cs="宋体"/>
                <w:sz w:val="20"/>
                <w:szCs w:val="20"/>
              </w:rPr>
            </w:pPr>
          </w:p>
        </w:tc>
        <w:tc>
          <w:tcPr>
            <w:tcW w:w="6538" w:type="dxa"/>
          </w:tcPr>
          <w:p w14:paraId="143D413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使用工具时避免反复回触污染物品或皮肤表面。</w:t>
            </w:r>
          </w:p>
        </w:tc>
        <w:tc>
          <w:tcPr>
            <w:tcW w:w="1178" w:type="dxa"/>
            <w:vMerge w:val="continue"/>
          </w:tcPr>
          <w:p w14:paraId="0CFCD512">
            <w:pPr>
              <w:widowControl/>
              <w:numPr>
                <w:ilvl w:val="255"/>
                <w:numId w:val="0"/>
              </w:numPr>
              <w:spacing w:line="400" w:lineRule="exact"/>
              <w:rPr>
                <w:rFonts w:ascii="宋体" w:hAnsi="宋体" w:eastAsia="宋体" w:cs="宋体"/>
                <w:sz w:val="20"/>
                <w:szCs w:val="20"/>
              </w:rPr>
            </w:pPr>
          </w:p>
        </w:tc>
      </w:tr>
      <w:tr w14:paraId="6CA0177F">
        <w:trPr>
          <w:trHeight w:val="208" w:hRule="atLeast"/>
        </w:trPr>
        <w:tc>
          <w:tcPr>
            <w:tcW w:w="0" w:type="auto"/>
            <w:vMerge w:val="continue"/>
          </w:tcPr>
          <w:p w14:paraId="02C3D124">
            <w:pPr>
              <w:widowControl/>
              <w:numPr>
                <w:ilvl w:val="255"/>
                <w:numId w:val="0"/>
              </w:numPr>
              <w:spacing w:line="400" w:lineRule="exact"/>
              <w:rPr>
                <w:rFonts w:ascii="宋体" w:hAnsi="宋体" w:eastAsia="宋体" w:cs="宋体"/>
                <w:sz w:val="20"/>
                <w:szCs w:val="20"/>
              </w:rPr>
            </w:pPr>
          </w:p>
        </w:tc>
        <w:tc>
          <w:tcPr>
            <w:tcW w:w="6538" w:type="dxa"/>
          </w:tcPr>
          <w:p w14:paraId="2D3B0FB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伤口换药顺序：先清洁伤口后污染伤口。</w:t>
            </w:r>
          </w:p>
        </w:tc>
        <w:tc>
          <w:tcPr>
            <w:tcW w:w="1178" w:type="dxa"/>
            <w:vMerge w:val="continue"/>
          </w:tcPr>
          <w:p w14:paraId="4DD7D8AC">
            <w:pPr>
              <w:widowControl/>
              <w:numPr>
                <w:ilvl w:val="255"/>
                <w:numId w:val="0"/>
              </w:numPr>
              <w:spacing w:line="400" w:lineRule="exact"/>
              <w:rPr>
                <w:rFonts w:ascii="宋体" w:hAnsi="宋体" w:eastAsia="宋体" w:cs="宋体"/>
                <w:sz w:val="20"/>
                <w:szCs w:val="20"/>
              </w:rPr>
            </w:pPr>
          </w:p>
        </w:tc>
      </w:tr>
      <w:tr w14:paraId="44321001">
        <w:trPr>
          <w:trHeight w:val="208" w:hRule="atLeast"/>
        </w:trPr>
        <w:tc>
          <w:tcPr>
            <w:tcW w:w="0" w:type="auto"/>
            <w:vMerge w:val="restart"/>
          </w:tcPr>
          <w:p w14:paraId="54B25B3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2.3伤口评估</w:t>
            </w:r>
          </w:p>
        </w:tc>
        <w:tc>
          <w:tcPr>
            <w:tcW w:w="6538" w:type="dxa"/>
          </w:tcPr>
          <w:p w14:paraId="5963605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照护者应学会居家伤口评估方式。① 伤口床：能描述位置、大小、数量；能判断渗出液多少（少/中/多）、颜色（清亮/淡黄/血性/脓性）、气味（无味/异味/臭味）；能初步分辨坏死组织（黄/黑色）、健康肉芽（红润饱满）；能识别感染迹象（伤口扩大、红肿热痛、渗液明显增多伴脓性或恶臭，或伴随发热），并知晓需及时联系医生。</w:t>
            </w:r>
          </w:p>
        </w:tc>
        <w:tc>
          <w:tcPr>
            <w:tcW w:w="1178" w:type="dxa"/>
            <w:vMerge w:val="restart"/>
          </w:tcPr>
          <w:p w14:paraId="5472FAD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线下指导、</w:t>
            </w:r>
          </w:p>
          <w:p w14:paraId="5A0EB84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居家自评表</w:t>
            </w:r>
          </w:p>
          <w:p w14:paraId="01C0DE1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操作流程图</w:t>
            </w:r>
          </w:p>
          <w:p w14:paraId="5F146E0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2DCD9DF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tc>
      </w:tr>
      <w:tr w14:paraId="7D8784F2">
        <w:trPr>
          <w:trHeight w:val="208" w:hRule="atLeast"/>
        </w:trPr>
        <w:tc>
          <w:tcPr>
            <w:tcW w:w="0" w:type="auto"/>
            <w:vMerge w:val="continue"/>
          </w:tcPr>
          <w:p w14:paraId="4F9CD931">
            <w:pPr>
              <w:widowControl/>
              <w:numPr>
                <w:ilvl w:val="255"/>
                <w:numId w:val="0"/>
              </w:numPr>
              <w:spacing w:line="400" w:lineRule="exact"/>
              <w:rPr>
                <w:rFonts w:ascii="宋体" w:hAnsi="宋体" w:eastAsia="宋体" w:cs="宋体"/>
                <w:sz w:val="20"/>
                <w:szCs w:val="20"/>
              </w:rPr>
            </w:pPr>
          </w:p>
        </w:tc>
        <w:tc>
          <w:tcPr>
            <w:tcW w:w="6538" w:type="dxa"/>
          </w:tcPr>
          <w:p w14:paraId="4F451D0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② 伤口边缘：能识别是否平整连接、卷曲（提示愈合停滞）、浸渍（皮肤发白、变软，常因渗液过多或敷料不当）、是否有新生皮肤覆盖。</w:t>
            </w:r>
          </w:p>
        </w:tc>
        <w:tc>
          <w:tcPr>
            <w:tcW w:w="1178" w:type="dxa"/>
            <w:vMerge w:val="continue"/>
          </w:tcPr>
          <w:p w14:paraId="29780C95">
            <w:pPr>
              <w:widowControl/>
              <w:numPr>
                <w:ilvl w:val="255"/>
                <w:numId w:val="0"/>
              </w:numPr>
              <w:spacing w:line="400" w:lineRule="exact"/>
              <w:rPr>
                <w:rFonts w:ascii="宋体" w:hAnsi="宋体" w:eastAsia="宋体" w:cs="宋体"/>
                <w:sz w:val="20"/>
                <w:szCs w:val="20"/>
              </w:rPr>
            </w:pPr>
          </w:p>
        </w:tc>
      </w:tr>
      <w:tr w14:paraId="51ACC655">
        <w:trPr>
          <w:trHeight w:val="208" w:hRule="atLeast"/>
        </w:trPr>
        <w:tc>
          <w:tcPr>
            <w:tcW w:w="0" w:type="auto"/>
            <w:vMerge w:val="continue"/>
          </w:tcPr>
          <w:p w14:paraId="5304296E">
            <w:pPr>
              <w:widowControl/>
              <w:numPr>
                <w:ilvl w:val="255"/>
                <w:numId w:val="0"/>
              </w:numPr>
              <w:spacing w:line="400" w:lineRule="exact"/>
              <w:rPr>
                <w:rFonts w:ascii="宋体" w:hAnsi="宋体" w:eastAsia="宋体" w:cs="宋体"/>
                <w:sz w:val="20"/>
                <w:szCs w:val="20"/>
              </w:rPr>
            </w:pPr>
          </w:p>
        </w:tc>
        <w:tc>
          <w:tcPr>
            <w:tcW w:w="6538" w:type="dxa"/>
          </w:tcPr>
          <w:p w14:paraId="61B641FE">
            <w:pPr>
              <w:widowControl/>
              <w:numPr>
                <w:ilvl w:val="255"/>
                <w:numId w:val="0"/>
              </w:numPr>
              <w:spacing w:line="400" w:lineRule="exact"/>
              <w:rPr>
                <w:rFonts w:ascii="宋体" w:hAnsi="宋体" w:eastAsia="宋体" w:cs="宋体"/>
                <w:sz w:val="20"/>
                <w:szCs w:val="20"/>
              </w:rPr>
            </w:pPr>
            <w:r>
              <w:rPr>
                <w:rFonts w:ascii="宋体" w:hAnsi="宋体" w:eastAsia="宋体" w:cs="宋体"/>
                <w:sz w:val="20"/>
                <w:szCs w:val="20"/>
              </w:rPr>
              <w:t>③ 周围皮肤：能观察是否完整，有无发红、发热、水肿；能识别湿疹、皮炎、干燥或破损，并采取保护措施（如润肤/调整敷料）。</w:t>
            </w:r>
          </w:p>
        </w:tc>
        <w:tc>
          <w:tcPr>
            <w:tcW w:w="1178" w:type="dxa"/>
            <w:vMerge w:val="continue"/>
          </w:tcPr>
          <w:p w14:paraId="280E8FBB">
            <w:pPr>
              <w:widowControl/>
              <w:numPr>
                <w:ilvl w:val="255"/>
                <w:numId w:val="0"/>
              </w:numPr>
              <w:spacing w:line="400" w:lineRule="exact"/>
              <w:rPr>
                <w:rFonts w:ascii="宋体" w:hAnsi="宋体" w:eastAsia="宋体" w:cs="宋体"/>
                <w:sz w:val="20"/>
                <w:szCs w:val="20"/>
              </w:rPr>
            </w:pPr>
          </w:p>
        </w:tc>
      </w:tr>
      <w:tr w14:paraId="0DAA3426">
        <w:trPr>
          <w:trHeight w:val="312" w:hRule="atLeast"/>
        </w:trPr>
        <w:tc>
          <w:tcPr>
            <w:tcW w:w="0" w:type="auto"/>
            <w:vMerge w:val="restart"/>
          </w:tcPr>
          <w:p w14:paraId="6C419D1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2.4清洁与清创</w:t>
            </w:r>
          </w:p>
        </w:tc>
        <w:tc>
          <w:tcPr>
            <w:tcW w:w="6538" w:type="dxa"/>
          </w:tcPr>
          <w:p w14:paraId="2C338E7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照护者应使用低毒性温热溶液如生理盐水、无菌注射水、生理盐水加液体石蜡等，脉冲式（冲一下，停一下）清洗伤口，避免使用刺激性溶液如碘伏等。</w:t>
            </w:r>
          </w:p>
        </w:tc>
        <w:tc>
          <w:tcPr>
            <w:tcW w:w="1178" w:type="dxa"/>
            <w:vMerge w:val="restart"/>
          </w:tcPr>
          <w:p w14:paraId="50EE07E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56B144F6">
            <w:pPr>
              <w:widowControl/>
              <w:numPr>
                <w:ilvl w:val="255"/>
                <w:numId w:val="0"/>
              </w:numPr>
              <w:spacing w:line="400" w:lineRule="exact"/>
              <w:rPr>
                <w:rFonts w:ascii="宋体" w:hAnsi="宋体" w:eastAsia="宋体" w:cs="宋体"/>
                <w:sz w:val="20"/>
                <w:szCs w:val="20"/>
              </w:rPr>
            </w:pPr>
          </w:p>
          <w:p w14:paraId="69AF85BB">
            <w:pPr>
              <w:widowControl/>
              <w:numPr>
                <w:ilvl w:val="255"/>
                <w:numId w:val="0"/>
              </w:numPr>
              <w:spacing w:line="400" w:lineRule="exact"/>
              <w:rPr>
                <w:rFonts w:ascii="宋体" w:hAnsi="宋体" w:eastAsia="宋体" w:cs="宋体"/>
                <w:sz w:val="20"/>
                <w:szCs w:val="20"/>
              </w:rPr>
            </w:pPr>
          </w:p>
        </w:tc>
      </w:tr>
      <w:tr w14:paraId="77EBA5F3">
        <w:trPr>
          <w:trHeight w:val="312" w:hRule="atLeast"/>
        </w:trPr>
        <w:tc>
          <w:tcPr>
            <w:tcW w:w="0" w:type="auto"/>
            <w:vMerge w:val="continue"/>
          </w:tcPr>
          <w:p w14:paraId="559F47C8">
            <w:pPr>
              <w:widowControl/>
              <w:numPr>
                <w:ilvl w:val="255"/>
                <w:numId w:val="0"/>
              </w:numPr>
              <w:spacing w:line="400" w:lineRule="exact"/>
              <w:rPr>
                <w:rFonts w:ascii="宋体" w:hAnsi="宋体" w:eastAsia="宋体" w:cs="宋体"/>
                <w:sz w:val="20"/>
                <w:szCs w:val="20"/>
              </w:rPr>
            </w:pPr>
          </w:p>
        </w:tc>
        <w:tc>
          <w:tcPr>
            <w:tcW w:w="6538" w:type="dxa"/>
          </w:tcPr>
          <w:p w14:paraId="5A91A36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经照护者评估后无感染的伤口可直接使用生理盐水等进行清洁，严重细菌定植的伤口或感染的伤口需在医护人员指导下使用含有PHMB（聚六甲基双胍）的清洗溶液对伤口进行湿敷后再处理。含有PHMB的清洗溶液不适用于新生儿。</w:t>
            </w:r>
          </w:p>
        </w:tc>
        <w:tc>
          <w:tcPr>
            <w:tcW w:w="1178" w:type="dxa"/>
            <w:vMerge w:val="continue"/>
          </w:tcPr>
          <w:p w14:paraId="2036F898">
            <w:pPr>
              <w:widowControl/>
              <w:numPr>
                <w:ilvl w:val="255"/>
                <w:numId w:val="0"/>
              </w:numPr>
              <w:spacing w:line="400" w:lineRule="exact"/>
              <w:rPr>
                <w:rFonts w:ascii="宋体" w:hAnsi="宋体" w:eastAsia="宋体" w:cs="宋体"/>
                <w:sz w:val="20"/>
                <w:szCs w:val="20"/>
              </w:rPr>
            </w:pPr>
          </w:p>
        </w:tc>
      </w:tr>
      <w:tr w14:paraId="44AB4FBE">
        <w:trPr>
          <w:trHeight w:val="312" w:hRule="atLeast"/>
        </w:trPr>
        <w:tc>
          <w:tcPr>
            <w:tcW w:w="0" w:type="auto"/>
            <w:vMerge w:val="continue"/>
          </w:tcPr>
          <w:p w14:paraId="264A471A">
            <w:pPr>
              <w:widowControl/>
              <w:numPr>
                <w:ilvl w:val="255"/>
                <w:numId w:val="0"/>
              </w:numPr>
              <w:spacing w:line="400" w:lineRule="exact"/>
              <w:rPr>
                <w:rFonts w:ascii="宋体" w:hAnsi="宋体" w:eastAsia="宋体" w:cs="宋体"/>
                <w:sz w:val="20"/>
                <w:szCs w:val="20"/>
              </w:rPr>
            </w:pPr>
          </w:p>
        </w:tc>
        <w:tc>
          <w:tcPr>
            <w:tcW w:w="6538" w:type="dxa"/>
          </w:tcPr>
          <w:p w14:paraId="0A96729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当结痂或腐肉影响愈合或敷料贴合时，照护者应在医护人员指导下使用水凝胶敷料或厚涂保湿霜封包软化</w:t>
            </w:r>
            <w:r>
              <w:rPr>
                <w:rFonts w:hint="eastAsia" w:ascii="宋体" w:hAnsi="宋体" w:eastAsia="宋体" w:cs="宋体"/>
                <w:sz w:val="20"/>
                <w:szCs w:val="20"/>
                <w:lang w:val="en-US" w:eastAsia="zh-CN"/>
              </w:rPr>
              <w:t>后</w:t>
            </w:r>
            <w:r>
              <w:rPr>
                <w:rFonts w:hint="eastAsia" w:ascii="宋体" w:hAnsi="宋体" w:eastAsia="宋体" w:cs="宋体"/>
                <w:sz w:val="20"/>
                <w:szCs w:val="20"/>
              </w:rPr>
              <w:t>，轻轻去除；</w:t>
            </w:r>
          </w:p>
        </w:tc>
        <w:tc>
          <w:tcPr>
            <w:tcW w:w="1178" w:type="dxa"/>
            <w:vMerge w:val="continue"/>
          </w:tcPr>
          <w:p w14:paraId="48B78D0F">
            <w:pPr>
              <w:widowControl/>
              <w:numPr>
                <w:ilvl w:val="255"/>
                <w:numId w:val="0"/>
              </w:numPr>
              <w:spacing w:line="400" w:lineRule="exact"/>
              <w:rPr>
                <w:rFonts w:ascii="宋体" w:hAnsi="宋体" w:eastAsia="宋体" w:cs="宋体"/>
                <w:sz w:val="20"/>
                <w:szCs w:val="20"/>
              </w:rPr>
            </w:pPr>
          </w:p>
        </w:tc>
      </w:tr>
      <w:tr w14:paraId="6B3AF3A9">
        <w:trPr>
          <w:trHeight w:val="312" w:hRule="atLeast"/>
        </w:trPr>
        <w:tc>
          <w:tcPr>
            <w:tcW w:w="0" w:type="auto"/>
            <w:vMerge w:val="restart"/>
          </w:tcPr>
          <w:p w14:paraId="7B1EF6F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2.5水疱处理</w:t>
            </w:r>
          </w:p>
        </w:tc>
        <w:tc>
          <w:tcPr>
            <w:tcW w:w="6538" w:type="dxa"/>
          </w:tcPr>
          <w:p w14:paraId="6DF4BAB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照护者应掌握如何处理不同水疱的方式：针对疱壁紧张的水疱可采用从最低点用无菌针头贯穿刺破水疱保留水疱表皮覆盖以保护创面；</w:t>
            </w:r>
          </w:p>
        </w:tc>
        <w:tc>
          <w:tcPr>
            <w:tcW w:w="1178" w:type="dxa"/>
            <w:vMerge w:val="restart"/>
          </w:tcPr>
          <w:p w14:paraId="60AB003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操作指导</w:t>
            </w:r>
          </w:p>
          <w:p w14:paraId="1B34888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4965E27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操作示范视频</w:t>
            </w:r>
          </w:p>
          <w:p w14:paraId="64AD665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tc>
      </w:tr>
      <w:tr w14:paraId="1DEE45DF">
        <w:trPr>
          <w:trHeight w:val="312" w:hRule="atLeast"/>
        </w:trPr>
        <w:tc>
          <w:tcPr>
            <w:tcW w:w="0" w:type="auto"/>
            <w:vMerge w:val="continue"/>
          </w:tcPr>
          <w:p w14:paraId="4FA28A1D">
            <w:pPr>
              <w:widowControl/>
              <w:numPr>
                <w:ilvl w:val="255"/>
                <w:numId w:val="0"/>
              </w:numPr>
              <w:spacing w:line="400" w:lineRule="exact"/>
              <w:rPr>
                <w:rFonts w:ascii="宋体" w:hAnsi="宋体" w:eastAsia="宋体" w:cs="宋体"/>
                <w:sz w:val="20"/>
                <w:szCs w:val="20"/>
              </w:rPr>
            </w:pPr>
          </w:p>
        </w:tc>
        <w:tc>
          <w:tcPr>
            <w:tcW w:w="6538" w:type="dxa"/>
          </w:tcPr>
          <w:p w14:paraId="29994DC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针对松弛性水疱可使用棉签将疱液轻轻推至水疱最低点用无菌针头贯刺破水疱保留水疱表皮覆盖以保护创面。</w:t>
            </w:r>
          </w:p>
        </w:tc>
        <w:tc>
          <w:tcPr>
            <w:tcW w:w="1178" w:type="dxa"/>
            <w:vMerge w:val="continue"/>
          </w:tcPr>
          <w:p w14:paraId="7949C3ED">
            <w:pPr>
              <w:widowControl/>
              <w:numPr>
                <w:ilvl w:val="255"/>
                <w:numId w:val="0"/>
              </w:numPr>
              <w:spacing w:line="400" w:lineRule="exact"/>
              <w:rPr>
                <w:rFonts w:ascii="宋体" w:hAnsi="宋体" w:eastAsia="宋体" w:cs="宋体"/>
                <w:sz w:val="20"/>
                <w:szCs w:val="20"/>
              </w:rPr>
            </w:pPr>
          </w:p>
        </w:tc>
      </w:tr>
      <w:tr w14:paraId="5A64883B">
        <w:trPr>
          <w:trHeight w:val="312" w:hRule="atLeast"/>
        </w:trPr>
        <w:tc>
          <w:tcPr>
            <w:tcW w:w="0" w:type="auto"/>
            <w:vMerge w:val="continue"/>
          </w:tcPr>
          <w:p w14:paraId="58FB4FB5">
            <w:pPr>
              <w:widowControl/>
              <w:numPr>
                <w:ilvl w:val="255"/>
                <w:numId w:val="0"/>
              </w:numPr>
              <w:spacing w:line="400" w:lineRule="exact"/>
              <w:rPr>
                <w:rFonts w:ascii="宋体" w:hAnsi="宋体" w:eastAsia="宋体" w:cs="宋体"/>
                <w:sz w:val="20"/>
                <w:szCs w:val="20"/>
              </w:rPr>
            </w:pPr>
          </w:p>
        </w:tc>
        <w:tc>
          <w:tcPr>
            <w:tcW w:w="6538" w:type="dxa"/>
          </w:tcPr>
          <w:p w14:paraId="3C2DA87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 对于大水疱可使用无菌针头十字对穿、多处刺破或使用无菌剪刀剪出较大孔洞后纱布按压或注射器抽吸排空疱液，可略微加压包扎，及时观察是否再次产生水疱。</w:t>
            </w:r>
          </w:p>
        </w:tc>
        <w:tc>
          <w:tcPr>
            <w:tcW w:w="1178" w:type="dxa"/>
            <w:vMerge w:val="continue"/>
          </w:tcPr>
          <w:p w14:paraId="3EA4FC01">
            <w:pPr>
              <w:widowControl/>
              <w:numPr>
                <w:ilvl w:val="255"/>
                <w:numId w:val="0"/>
              </w:numPr>
              <w:spacing w:line="400" w:lineRule="exact"/>
              <w:rPr>
                <w:rFonts w:ascii="宋体" w:hAnsi="宋体" w:eastAsia="宋体" w:cs="宋体"/>
                <w:sz w:val="20"/>
                <w:szCs w:val="20"/>
              </w:rPr>
            </w:pPr>
          </w:p>
        </w:tc>
      </w:tr>
      <w:tr w14:paraId="2F3503C0">
        <w:trPr>
          <w:trHeight w:val="419" w:hRule="atLeast"/>
        </w:trPr>
        <w:tc>
          <w:tcPr>
            <w:tcW w:w="0" w:type="auto"/>
            <w:vMerge w:val="restart"/>
          </w:tcPr>
          <w:p w14:paraId="5DCB1F6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2.6敷料选择与使用</w:t>
            </w:r>
          </w:p>
        </w:tc>
        <w:tc>
          <w:tcPr>
            <w:tcW w:w="6538" w:type="dxa"/>
          </w:tcPr>
          <w:p w14:paraId="5481197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掌握敷料选择方式：对直接接触伤口的敷料应选择柔软、非粘性、透气及吸收渗液能力强的敷料，如硅胶泡沫敷料、凡士林油纱、银离子敷料等，避免暴露伤口导致伤口粘连于衣被。</w:t>
            </w:r>
          </w:p>
        </w:tc>
        <w:tc>
          <w:tcPr>
            <w:tcW w:w="1178" w:type="dxa"/>
            <w:vMerge w:val="restart"/>
          </w:tcPr>
          <w:p w14:paraId="77BBFDD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操作指导</w:t>
            </w:r>
          </w:p>
          <w:p w14:paraId="02071A9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6594171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操作示范视频</w:t>
            </w:r>
          </w:p>
          <w:p w14:paraId="7D47312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tc>
      </w:tr>
      <w:tr w14:paraId="2AD2E356">
        <w:trPr>
          <w:trHeight w:val="419" w:hRule="atLeast"/>
        </w:trPr>
        <w:tc>
          <w:tcPr>
            <w:tcW w:w="0" w:type="auto"/>
            <w:vMerge w:val="continue"/>
          </w:tcPr>
          <w:p w14:paraId="1FDDB624">
            <w:pPr>
              <w:widowControl/>
              <w:numPr>
                <w:ilvl w:val="255"/>
                <w:numId w:val="0"/>
              </w:numPr>
              <w:spacing w:line="400" w:lineRule="exact"/>
              <w:rPr>
                <w:rFonts w:ascii="宋体" w:hAnsi="宋体" w:eastAsia="宋体" w:cs="宋体"/>
                <w:sz w:val="20"/>
                <w:szCs w:val="20"/>
              </w:rPr>
            </w:pPr>
          </w:p>
        </w:tc>
        <w:tc>
          <w:tcPr>
            <w:tcW w:w="6538" w:type="dxa"/>
          </w:tcPr>
          <w:p w14:paraId="17A1514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敷料应根据伤口大小和身体部位进行选择，提前裁剪至合适形状，一般大于伤口边缘1-2cm。</w:t>
            </w:r>
          </w:p>
        </w:tc>
        <w:tc>
          <w:tcPr>
            <w:tcW w:w="1178" w:type="dxa"/>
            <w:vMerge w:val="continue"/>
          </w:tcPr>
          <w:p w14:paraId="22B8E917">
            <w:pPr>
              <w:widowControl/>
              <w:numPr>
                <w:ilvl w:val="255"/>
                <w:numId w:val="0"/>
              </w:numPr>
              <w:spacing w:line="400" w:lineRule="exact"/>
              <w:rPr>
                <w:rFonts w:ascii="宋体" w:hAnsi="宋体" w:eastAsia="宋体" w:cs="宋体"/>
                <w:sz w:val="20"/>
                <w:szCs w:val="20"/>
              </w:rPr>
            </w:pPr>
          </w:p>
        </w:tc>
      </w:tr>
      <w:tr w14:paraId="1A9AB355">
        <w:trPr>
          <w:trHeight w:val="419" w:hRule="atLeast"/>
        </w:trPr>
        <w:tc>
          <w:tcPr>
            <w:tcW w:w="0" w:type="auto"/>
            <w:vMerge w:val="continue"/>
          </w:tcPr>
          <w:p w14:paraId="776814C2">
            <w:pPr>
              <w:widowControl/>
              <w:numPr>
                <w:ilvl w:val="255"/>
                <w:numId w:val="0"/>
              </w:numPr>
              <w:spacing w:line="400" w:lineRule="exact"/>
              <w:rPr>
                <w:rFonts w:ascii="宋体" w:hAnsi="宋体" w:eastAsia="宋体" w:cs="宋体"/>
                <w:sz w:val="20"/>
                <w:szCs w:val="20"/>
              </w:rPr>
            </w:pPr>
          </w:p>
        </w:tc>
        <w:tc>
          <w:tcPr>
            <w:tcW w:w="6538" w:type="dxa"/>
          </w:tcPr>
          <w:p w14:paraId="6EF1515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确保敷料无褶皱，若连接处或边缘摩擦，可采用叠瓦片或亲水纤维敷料保护，避免敷料边缘引发新的水疱。</w:t>
            </w:r>
          </w:p>
        </w:tc>
        <w:tc>
          <w:tcPr>
            <w:tcW w:w="1178" w:type="dxa"/>
            <w:vMerge w:val="continue"/>
          </w:tcPr>
          <w:p w14:paraId="3ACB0C11">
            <w:pPr>
              <w:widowControl/>
              <w:numPr>
                <w:ilvl w:val="255"/>
                <w:numId w:val="0"/>
              </w:numPr>
              <w:spacing w:line="400" w:lineRule="exact"/>
              <w:rPr>
                <w:rFonts w:ascii="宋体" w:hAnsi="宋体" w:eastAsia="宋体" w:cs="宋体"/>
                <w:sz w:val="20"/>
                <w:szCs w:val="20"/>
              </w:rPr>
            </w:pPr>
          </w:p>
        </w:tc>
      </w:tr>
      <w:tr w14:paraId="7880EECD">
        <w:trPr>
          <w:trHeight w:val="312" w:hRule="atLeast"/>
        </w:trPr>
        <w:tc>
          <w:tcPr>
            <w:tcW w:w="0" w:type="auto"/>
            <w:vMerge w:val="restart"/>
          </w:tcPr>
          <w:p w14:paraId="3BDE7E7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2.7伤口包扎</w:t>
            </w:r>
          </w:p>
        </w:tc>
        <w:tc>
          <w:tcPr>
            <w:tcW w:w="6538" w:type="dxa"/>
          </w:tcPr>
          <w:p w14:paraId="61A6C37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根据不同伤口选择合适包扎方式：包扎前应使用不粘敷料覆盖伤口及水疱处，完整的皮肤表面应涂抹油性润肤剂保护皮肤，后使用弹力绷带进行固定，固定不宜过紧或过松，避免敷料移位牵拉皮肤，切勿直接使用胶带黏连皮肤，以可以自由活动为标准。</w:t>
            </w:r>
          </w:p>
        </w:tc>
        <w:tc>
          <w:tcPr>
            <w:tcW w:w="1178" w:type="dxa"/>
            <w:vMerge w:val="restart"/>
          </w:tcPr>
          <w:p w14:paraId="55A4BDE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操作指导</w:t>
            </w:r>
          </w:p>
          <w:p w14:paraId="2C176BA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1989490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操作示范视频</w:t>
            </w:r>
          </w:p>
          <w:p w14:paraId="42C41C5D">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tc>
      </w:tr>
      <w:tr w14:paraId="7B8A11A2">
        <w:trPr>
          <w:trHeight w:val="312" w:hRule="atLeast"/>
        </w:trPr>
        <w:tc>
          <w:tcPr>
            <w:tcW w:w="0" w:type="auto"/>
            <w:vMerge w:val="continue"/>
          </w:tcPr>
          <w:p w14:paraId="05563892">
            <w:pPr>
              <w:widowControl/>
              <w:numPr>
                <w:ilvl w:val="255"/>
                <w:numId w:val="0"/>
              </w:numPr>
              <w:spacing w:line="400" w:lineRule="exact"/>
              <w:rPr>
                <w:rFonts w:ascii="宋体" w:hAnsi="宋体" w:eastAsia="宋体" w:cs="宋体"/>
                <w:sz w:val="20"/>
                <w:szCs w:val="20"/>
              </w:rPr>
            </w:pPr>
          </w:p>
        </w:tc>
        <w:tc>
          <w:tcPr>
            <w:tcW w:w="6538" w:type="dxa"/>
          </w:tcPr>
          <w:p w14:paraId="57C4E38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包扎后应检查是否压迫皮肤，及时观察皮肤颜色和末梢循环，特别注意检查边缘区域是否红肿、形成水疱。</w:t>
            </w:r>
          </w:p>
        </w:tc>
        <w:tc>
          <w:tcPr>
            <w:tcW w:w="1178" w:type="dxa"/>
            <w:vMerge w:val="continue"/>
          </w:tcPr>
          <w:p w14:paraId="37596525">
            <w:pPr>
              <w:widowControl/>
              <w:numPr>
                <w:ilvl w:val="255"/>
                <w:numId w:val="0"/>
              </w:numPr>
              <w:spacing w:line="400" w:lineRule="exact"/>
              <w:rPr>
                <w:rFonts w:ascii="宋体" w:hAnsi="宋体" w:eastAsia="宋体" w:cs="宋体"/>
                <w:sz w:val="20"/>
                <w:szCs w:val="20"/>
              </w:rPr>
            </w:pPr>
          </w:p>
        </w:tc>
      </w:tr>
      <w:tr w14:paraId="1DF92F73">
        <w:trPr>
          <w:trHeight w:val="1265" w:hRule="atLeast"/>
        </w:trPr>
        <w:tc>
          <w:tcPr>
            <w:tcW w:w="0" w:type="auto"/>
            <w:vMerge w:val="restart"/>
          </w:tcPr>
          <w:p w14:paraId="7AD361D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2.8感染伤口处理</w:t>
            </w:r>
          </w:p>
        </w:tc>
        <w:tc>
          <w:tcPr>
            <w:tcW w:w="6538" w:type="dxa"/>
          </w:tcPr>
          <w:p w14:paraId="1A5D8E3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NERDS 标准初步识别：照护者学会根据 NERDS 五条标准进行判断（① 不愈合、②渗出增多、③红色脆弱肉芽、④腐肉/假膜、⑤异常气味），当 ≥3 条时提示可能细菌过度定植。处理方式：出现以上情况时，照护者需及时联系医护人员，并在医嘱下采取措施：① 使用低浓度次氯酸钠清洁伤口；② 外用抗菌剂（氯己定、苯扎氯铵等）；③ 外用抗生素（如莫匹罗星）；④ 抗菌敷料（如含银敷料，使用时间一般不超过 2–4 周）。动态观察：照护者在换药后 3–5 日内需观察伤口变化，如渗液、气味或面积持续加重，应立即复诊。</w:t>
            </w:r>
          </w:p>
        </w:tc>
        <w:tc>
          <w:tcPr>
            <w:tcW w:w="1178" w:type="dxa"/>
            <w:vMerge w:val="restart"/>
          </w:tcPr>
          <w:p w14:paraId="12247E8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操作指导</w:t>
            </w:r>
          </w:p>
          <w:p w14:paraId="1D162E7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7701AB5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操作示范视频</w:t>
            </w:r>
          </w:p>
          <w:p w14:paraId="16177BE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tc>
      </w:tr>
      <w:tr w14:paraId="417977D4">
        <w:trPr>
          <w:trHeight w:val="1265" w:hRule="atLeast"/>
        </w:trPr>
        <w:tc>
          <w:tcPr>
            <w:tcW w:w="0" w:type="auto"/>
            <w:vMerge w:val="continue"/>
          </w:tcPr>
          <w:p w14:paraId="7B9E2325">
            <w:pPr>
              <w:widowControl/>
              <w:numPr>
                <w:ilvl w:val="255"/>
                <w:numId w:val="0"/>
              </w:numPr>
              <w:spacing w:line="400" w:lineRule="exact"/>
              <w:rPr>
                <w:rFonts w:ascii="宋体" w:hAnsi="宋体" w:eastAsia="宋体" w:cs="宋体"/>
                <w:sz w:val="20"/>
                <w:szCs w:val="20"/>
              </w:rPr>
            </w:pPr>
          </w:p>
        </w:tc>
        <w:tc>
          <w:tcPr>
            <w:tcW w:w="6538" w:type="dxa"/>
          </w:tcPr>
          <w:p w14:paraId="7CB7308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STONEES 标准初步识别：当伤口出现以下 ≥3 条时，提示可能已累及深部组织：① 伤口面积明显扩大；② 局部温度升高/伴发热；③ 伤口可见骨组织或疑似骨暴露；④ 伤口边缘出现新的破损；⑤ 出现脓性渗液；⑥ 出现明显恶臭。处理方式：如出现上述情况，照护者应立即停止换药，联系专业医务人员进行评估，不可自行继续操作。</w:t>
            </w:r>
          </w:p>
        </w:tc>
        <w:tc>
          <w:tcPr>
            <w:tcW w:w="1178" w:type="dxa"/>
            <w:vMerge w:val="continue"/>
            <w:tcBorders>
              <w:bottom w:val="single" w:color="auto" w:sz="12" w:space="0"/>
            </w:tcBorders>
          </w:tcPr>
          <w:p w14:paraId="1ACCE4FD">
            <w:pPr>
              <w:widowControl/>
              <w:numPr>
                <w:ilvl w:val="255"/>
                <w:numId w:val="0"/>
              </w:numPr>
              <w:spacing w:line="400" w:lineRule="exact"/>
              <w:rPr>
                <w:rFonts w:ascii="宋体" w:hAnsi="宋体" w:eastAsia="宋体" w:cs="宋体"/>
                <w:sz w:val="20"/>
                <w:szCs w:val="20"/>
              </w:rPr>
            </w:pPr>
          </w:p>
        </w:tc>
      </w:tr>
      <w:tr w14:paraId="5103EF33">
        <w:trPr>
          <w:trHeight w:val="1265" w:hRule="atLeast"/>
        </w:trPr>
        <w:tc>
          <w:tcPr>
            <w:tcW w:w="0" w:type="auto"/>
            <w:vMerge w:val="continue"/>
            <w:tcBorders>
              <w:bottom w:val="single" w:color="auto" w:sz="12" w:space="0"/>
            </w:tcBorders>
          </w:tcPr>
          <w:p w14:paraId="6BF6E983">
            <w:pPr>
              <w:widowControl/>
              <w:numPr>
                <w:ilvl w:val="255"/>
                <w:numId w:val="0"/>
              </w:numPr>
              <w:spacing w:line="400" w:lineRule="exact"/>
              <w:rPr>
                <w:rFonts w:ascii="宋体" w:hAnsi="宋体" w:eastAsia="宋体" w:cs="宋体"/>
                <w:sz w:val="20"/>
                <w:szCs w:val="20"/>
              </w:rPr>
            </w:pPr>
          </w:p>
        </w:tc>
        <w:tc>
          <w:tcPr>
            <w:tcW w:w="6538" w:type="dxa"/>
            <w:tcBorders>
              <w:bottom w:val="single" w:color="auto" w:sz="12" w:space="0"/>
            </w:tcBorders>
          </w:tcPr>
          <w:p w14:paraId="7A693D3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鳞状细胞癌（重型 EB 患儿高风险）：照护者学会警惕以下伤口表现：① 不愈合时间超过 4 周以上；② 伤口迅速增大或出现异常鼓起，类似“过度生长的肉芽”；③ 与常见 EB 伤口相比，疼痛或刺痛感明显加重。处理方式：一旦发现，应立即停止换药并联系专业医务人员，必要时转诊，避免延误诊治。</w:t>
            </w:r>
          </w:p>
        </w:tc>
        <w:tc>
          <w:tcPr>
            <w:tcW w:w="1178" w:type="dxa"/>
            <w:vMerge w:val="continue"/>
            <w:tcBorders>
              <w:bottom w:val="single" w:color="auto" w:sz="12" w:space="0"/>
            </w:tcBorders>
          </w:tcPr>
          <w:p w14:paraId="325DBC0C">
            <w:pPr>
              <w:widowControl/>
              <w:numPr>
                <w:ilvl w:val="255"/>
                <w:numId w:val="0"/>
              </w:numPr>
              <w:spacing w:line="400" w:lineRule="exact"/>
              <w:rPr>
                <w:rFonts w:ascii="宋体" w:hAnsi="宋体" w:eastAsia="宋体" w:cs="宋体"/>
                <w:sz w:val="20"/>
                <w:szCs w:val="20"/>
              </w:rPr>
            </w:pPr>
          </w:p>
        </w:tc>
      </w:tr>
    </w:tbl>
    <w:p w14:paraId="1EFC6560">
      <w:pPr>
        <w:spacing w:line="400" w:lineRule="exact"/>
        <w:rPr>
          <w:rFonts w:ascii="Times New Roman Regular" w:hAnsi="Times New Roman Regular" w:cs="Times New Roman Regular"/>
          <w:b/>
          <w:bCs/>
        </w:rPr>
      </w:pPr>
      <w:r>
        <w:rPr>
          <w:rFonts w:hint="eastAsia" w:ascii="Times New Roman Regular" w:hAnsi="Times New Roman Regular" w:cs="Times New Roman Regular"/>
          <w:b/>
          <w:bCs/>
        </w:rPr>
        <w:t>3.特殊部位护理</w:t>
      </w:r>
    </w:p>
    <w:p w14:paraId="53C9D24A">
      <w:pPr>
        <w:spacing w:line="400" w:lineRule="exact"/>
        <w:ind w:firstLine="480" w:firstLineChars="200"/>
        <w:rPr>
          <w:rFonts w:ascii="宋体" w:hAnsi="宋体" w:eastAsia="宋体" w:cs="宋体"/>
        </w:rPr>
      </w:pPr>
      <w:r>
        <w:rPr>
          <w:rFonts w:hint="eastAsia" w:ascii="宋体" w:hAnsi="宋体" w:eastAsia="宋体" w:cs="宋体"/>
          <w:b/>
          <w:bCs/>
        </w:rPr>
        <w:t>能力目标：</w:t>
      </w:r>
      <w:r>
        <w:rPr>
          <w:rFonts w:hint="eastAsia" w:ascii="宋体" w:hAnsi="宋体" w:eastAsia="宋体" w:cs="宋体"/>
        </w:rPr>
        <w:t>照护者能够识别并掌握对EB患儿特殊部位（如眼部、口腔、指甲等）的日常护理要点，学会使用安全、简便的居家护理措施减轻局部损伤和不适，并在发现严重异常时及时寻求专业帮助，从而降低并发症风险。</w:t>
      </w:r>
    </w:p>
    <w:tbl>
      <w:tblPr>
        <w:tblStyle w:val="3"/>
        <w:tblW w:w="84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3"/>
        <w:gridCol w:w="6063"/>
        <w:gridCol w:w="1276"/>
      </w:tblGrid>
      <w:tr w14:paraId="07402497">
        <w:trPr>
          <w:trHeight w:val="493" w:hRule="atLeast"/>
          <w:tblHeader/>
        </w:trPr>
        <w:tc>
          <w:tcPr>
            <w:tcW w:w="1133" w:type="dxa"/>
            <w:tcBorders>
              <w:top w:val="single" w:color="auto" w:sz="12" w:space="0"/>
              <w:bottom w:val="single" w:color="auto" w:sz="6" w:space="0"/>
            </w:tcBorders>
          </w:tcPr>
          <w:p w14:paraId="0095467D">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类别</w:t>
            </w:r>
          </w:p>
        </w:tc>
        <w:tc>
          <w:tcPr>
            <w:tcW w:w="6063" w:type="dxa"/>
            <w:tcBorders>
              <w:top w:val="single" w:color="auto" w:sz="12" w:space="0"/>
              <w:bottom w:val="single" w:color="auto" w:sz="6" w:space="0"/>
            </w:tcBorders>
          </w:tcPr>
          <w:p w14:paraId="79BDE892">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具体干预方案内容</w:t>
            </w:r>
          </w:p>
        </w:tc>
        <w:tc>
          <w:tcPr>
            <w:tcW w:w="1276" w:type="dxa"/>
            <w:tcBorders>
              <w:top w:val="single" w:color="auto" w:sz="12" w:space="0"/>
              <w:bottom w:val="single" w:color="auto" w:sz="6" w:space="0"/>
            </w:tcBorders>
          </w:tcPr>
          <w:p w14:paraId="05902DF8">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干预形式</w:t>
            </w:r>
          </w:p>
        </w:tc>
      </w:tr>
      <w:tr w14:paraId="5BD4D76F">
        <w:tc>
          <w:tcPr>
            <w:tcW w:w="1133" w:type="dxa"/>
            <w:vMerge w:val="restart"/>
            <w:tcBorders>
              <w:top w:val="single" w:color="auto" w:sz="6" w:space="0"/>
            </w:tcBorders>
          </w:tcPr>
          <w:p w14:paraId="42C86FC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3.1眼部护理</w:t>
            </w:r>
          </w:p>
        </w:tc>
        <w:tc>
          <w:tcPr>
            <w:tcW w:w="6063" w:type="dxa"/>
            <w:tcBorders>
              <w:top w:val="single" w:color="auto" w:sz="6" w:space="0"/>
            </w:tcBorders>
          </w:tcPr>
          <w:p w14:paraId="1E73E9C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照护者应学会如何判断眼部情况：对于结膜刺激症状，遵医嘱使用不含防腐剂及药物的滴眼液或眼药膏来减少摩擦造成的角膜损伤，避免自行用药；</w:t>
            </w:r>
          </w:p>
        </w:tc>
        <w:tc>
          <w:tcPr>
            <w:tcW w:w="1276" w:type="dxa"/>
            <w:vMerge w:val="restart"/>
            <w:tcBorders>
              <w:top w:val="single" w:color="auto" w:sz="6" w:space="0"/>
            </w:tcBorders>
          </w:tcPr>
          <w:p w14:paraId="5FDB2BC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762BB15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讲座</w:t>
            </w:r>
          </w:p>
          <w:p w14:paraId="053EF8A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tc>
      </w:tr>
      <w:tr w14:paraId="4E52D13F">
        <w:tc>
          <w:tcPr>
            <w:tcW w:w="1133" w:type="dxa"/>
            <w:vMerge w:val="continue"/>
          </w:tcPr>
          <w:p w14:paraId="0F5997D7">
            <w:pPr>
              <w:widowControl/>
              <w:numPr>
                <w:ilvl w:val="255"/>
                <w:numId w:val="0"/>
              </w:numPr>
              <w:spacing w:line="400" w:lineRule="exact"/>
              <w:rPr>
                <w:rFonts w:ascii="宋体" w:hAnsi="宋体" w:eastAsia="宋体" w:cs="宋体"/>
                <w:sz w:val="20"/>
                <w:szCs w:val="20"/>
              </w:rPr>
            </w:pPr>
          </w:p>
        </w:tc>
        <w:tc>
          <w:tcPr>
            <w:tcW w:w="6063" w:type="dxa"/>
          </w:tcPr>
          <w:p w14:paraId="7B22D6C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眼部经常疼痛的患儿可在评估后使用绷带镜；</w:t>
            </w:r>
          </w:p>
        </w:tc>
        <w:tc>
          <w:tcPr>
            <w:tcW w:w="1276" w:type="dxa"/>
            <w:vMerge w:val="continue"/>
          </w:tcPr>
          <w:p w14:paraId="0295F7DF">
            <w:pPr>
              <w:widowControl/>
              <w:numPr>
                <w:ilvl w:val="255"/>
                <w:numId w:val="0"/>
              </w:numPr>
              <w:spacing w:line="400" w:lineRule="exact"/>
              <w:rPr>
                <w:rFonts w:ascii="宋体" w:hAnsi="宋体" w:eastAsia="宋体" w:cs="宋体"/>
                <w:sz w:val="20"/>
                <w:szCs w:val="20"/>
              </w:rPr>
            </w:pPr>
          </w:p>
        </w:tc>
      </w:tr>
      <w:tr w14:paraId="72ED9A97">
        <w:trPr>
          <w:trHeight w:val="694" w:hRule="atLeast"/>
        </w:trPr>
        <w:tc>
          <w:tcPr>
            <w:tcW w:w="1133" w:type="dxa"/>
            <w:vMerge w:val="continue"/>
          </w:tcPr>
          <w:p w14:paraId="5A32304F">
            <w:pPr>
              <w:widowControl/>
              <w:numPr>
                <w:ilvl w:val="255"/>
                <w:numId w:val="0"/>
              </w:numPr>
              <w:spacing w:line="400" w:lineRule="exact"/>
              <w:rPr>
                <w:rFonts w:ascii="宋体" w:hAnsi="宋体" w:eastAsia="宋体" w:cs="宋体"/>
                <w:sz w:val="20"/>
                <w:szCs w:val="20"/>
              </w:rPr>
            </w:pPr>
          </w:p>
        </w:tc>
        <w:tc>
          <w:tcPr>
            <w:tcW w:w="6063" w:type="dxa"/>
          </w:tcPr>
          <w:p w14:paraId="5274300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眼睑外翻的患儿睡前可使用无菌凡士林油砂或遵医嘱使用抗生素眼膏保护眼睑。</w:t>
            </w:r>
          </w:p>
        </w:tc>
        <w:tc>
          <w:tcPr>
            <w:tcW w:w="1276" w:type="dxa"/>
            <w:vMerge w:val="continue"/>
          </w:tcPr>
          <w:p w14:paraId="4E642509">
            <w:pPr>
              <w:widowControl/>
              <w:numPr>
                <w:ilvl w:val="255"/>
                <w:numId w:val="0"/>
              </w:numPr>
              <w:spacing w:line="400" w:lineRule="exact"/>
              <w:rPr>
                <w:rFonts w:ascii="宋体" w:hAnsi="宋体" w:eastAsia="宋体" w:cs="宋体"/>
                <w:sz w:val="20"/>
                <w:szCs w:val="20"/>
              </w:rPr>
            </w:pPr>
          </w:p>
        </w:tc>
      </w:tr>
      <w:tr w14:paraId="32B2C160">
        <w:tc>
          <w:tcPr>
            <w:tcW w:w="1133" w:type="dxa"/>
            <w:vMerge w:val="restart"/>
          </w:tcPr>
          <w:p w14:paraId="2050884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3.2口腔护理</w:t>
            </w:r>
          </w:p>
        </w:tc>
        <w:tc>
          <w:tcPr>
            <w:tcW w:w="6063" w:type="dxa"/>
          </w:tcPr>
          <w:p w14:paraId="4C888AD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照护者应学会口腔护理措施：每日应使用柔软的小牙刷以及含氟牙膏轻轻刷牙，用生理盐水轻柔的漱口；在进食甜食后漱口，避免过早出现龋齿，定期口腔科随访。</w:t>
            </w:r>
          </w:p>
        </w:tc>
        <w:tc>
          <w:tcPr>
            <w:tcW w:w="1276" w:type="dxa"/>
            <w:vMerge w:val="restart"/>
          </w:tcPr>
          <w:p w14:paraId="2D42664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675A1F9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讲座</w:t>
            </w:r>
          </w:p>
          <w:p w14:paraId="077A920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p w14:paraId="044052BD">
            <w:pPr>
              <w:widowControl/>
              <w:numPr>
                <w:ilvl w:val="255"/>
                <w:numId w:val="0"/>
              </w:numPr>
              <w:spacing w:line="400" w:lineRule="exact"/>
              <w:rPr>
                <w:rFonts w:ascii="宋体" w:hAnsi="宋体" w:eastAsia="宋体" w:cs="宋体"/>
                <w:sz w:val="20"/>
                <w:szCs w:val="20"/>
              </w:rPr>
            </w:pPr>
          </w:p>
        </w:tc>
      </w:tr>
      <w:tr w14:paraId="3A289495">
        <w:tc>
          <w:tcPr>
            <w:tcW w:w="1133" w:type="dxa"/>
            <w:vMerge w:val="continue"/>
          </w:tcPr>
          <w:p w14:paraId="0EB159DE">
            <w:pPr>
              <w:widowControl/>
              <w:numPr>
                <w:ilvl w:val="255"/>
                <w:numId w:val="0"/>
              </w:numPr>
              <w:spacing w:line="400" w:lineRule="exact"/>
              <w:rPr>
                <w:rFonts w:ascii="宋体" w:hAnsi="宋体" w:eastAsia="宋体" w:cs="宋体"/>
                <w:sz w:val="20"/>
                <w:szCs w:val="20"/>
              </w:rPr>
            </w:pPr>
          </w:p>
        </w:tc>
        <w:tc>
          <w:tcPr>
            <w:tcW w:w="6063" w:type="dxa"/>
          </w:tcPr>
          <w:p w14:paraId="44D152E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重度EB患儿应避免使用吸管；</w:t>
            </w:r>
          </w:p>
        </w:tc>
        <w:tc>
          <w:tcPr>
            <w:tcW w:w="1276" w:type="dxa"/>
            <w:vMerge w:val="continue"/>
          </w:tcPr>
          <w:p w14:paraId="2D65EC57">
            <w:pPr>
              <w:widowControl/>
              <w:numPr>
                <w:ilvl w:val="255"/>
                <w:numId w:val="0"/>
              </w:numPr>
              <w:spacing w:line="400" w:lineRule="exact"/>
              <w:rPr>
                <w:rFonts w:ascii="宋体" w:hAnsi="宋体" w:eastAsia="宋体" w:cs="宋体"/>
                <w:sz w:val="20"/>
                <w:szCs w:val="20"/>
              </w:rPr>
            </w:pPr>
          </w:p>
        </w:tc>
      </w:tr>
      <w:tr w14:paraId="09CB5C44">
        <w:tc>
          <w:tcPr>
            <w:tcW w:w="1133" w:type="dxa"/>
            <w:vMerge w:val="continue"/>
          </w:tcPr>
          <w:p w14:paraId="41D8DCD7">
            <w:pPr>
              <w:widowControl/>
              <w:numPr>
                <w:ilvl w:val="255"/>
                <w:numId w:val="0"/>
              </w:numPr>
              <w:spacing w:line="400" w:lineRule="exact"/>
              <w:rPr>
                <w:rFonts w:ascii="宋体" w:hAnsi="宋体" w:eastAsia="宋体" w:cs="宋体"/>
                <w:sz w:val="20"/>
                <w:szCs w:val="20"/>
              </w:rPr>
            </w:pPr>
          </w:p>
        </w:tc>
        <w:tc>
          <w:tcPr>
            <w:tcW w:w="6063" w:type="dxa"/>
          </w:tcPr>
          <w:p w14:paraId="379CED3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需要喂奶的患儿，喂养时使用长而软的奶嘴、将普通奶嘴剪大或使用腭裂儿童专用喂奶器进行喂奶；使用前将奶嘴放入温水中软化，母乳喂养时在乳头及婴儿的脸颊上涂抹润肤霜，若口腔周围有水疱或伤口时则限制使用</w:t>
            </w:r>
            <w:r>
              <w:rPr>
                <w:rFonts w:hint="eastAsia" w:ascii="宋体" w:hAnsi="宋体" w:eastAsia="宋体" w:cs="宋体"/>
                <w:sz w:val="20"/>
                <w:szCs w:val="20"/>
                <w:lang w:val="en-US" w:eastAsia="zh-CN"/>
              </w:rPr>
              <w:t>润肤霜涂抹</w:t>
            </w:r>
            <w:r>
              <w:rPr>
                <w:rFonts w:hint="eastAsia" w:ascii="宋体" w:hAnsi="宋体" w:eastAsia="宋体" w:cs="宋体"/>
                <w:sz w:val="20"/>
                <w:szCs w:val="20"/>
              </w:rPr>
              <w:t>。</w:t>
            </w:r>
          </w:p>
        </w:tc>
        <w:tc>
          <w:tcPr>
            <w:tcW w:w="1276" w:type="dxa"/>
            <w:vMerge w:val="continue"/>
          </w:tcPr>
          <w:p w14:paraId="1A45FB6E">
            <w:pPr>
              <w:widowControl/>
              <w:numPr>
                <w:ilvl w:val="255"/>
                <w:numId w:val="0"/>
              </w:numPr>
              <w:spacing w:line="400" w:lineRule="exact"/>
              <w:rPr>
                <w:rFonts w:ascii="宋体" w:hAnsi="宋体" w:eastAsia="宋体" w:cs="宋体"/>
                <w:sz w:val="20"/>
                <w:szCs w:val="20"/>
              </w:rPr>
            </w:pPr>
          </w:p>
        </w:tc>
      </w:tr>
      <w:tr w14:paraId="5109A0B9">
        <w:tc>
          <w:tcPr>
            <w:tcW w:w="1133" w:type="dxa"/>
            <w:vMerge w:val="restart"/>
          </w:tcPr>
          <w:p w14:paraId="599F641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3.3手足部护理</w:t>
            </w:r>
          </w:p>
        </w:tc>
        <w:tc>
          <w:tcPr>
            <w:tcW w:w="6063" w:type="dxa"/>
          </w:tcPr>
          <w:p w14:paraId="52D063F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照护者应学会手足部护理措施：至少每年测量一次足部大小，婴幼儿因生长发育过快，应增加测量次数。</w:t>
            </w:r>
          </w:p>
        </w:tc>
        <w:tc>
          <w:tcPr>
            <w:tcW w:w="1276" w:type="dxa"/>
            <w:vMerge w:val="restart"/>
          </w:tcPr>
          <w:p w14:paraId="1F987DE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3823126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讲座</w:t>
            </w:r>
          </w:p>
          <w:p w14:paraId="34870E6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操作视频</w:t>
            </w:r>
          </w:p>
          <w:p w14:paraId="3C407CB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p w14:paraId="10FCE5D4">
            <w:pPr>
              <w:widowControl/>
              <w:numPr>
                <w:ilvl w:val="255"/>
                <w:numId w:val="0"/>
              </w:numPr>
              <w:spacing w:line="400" w:lineRule="exact"/>
              <w:rPr>
                <w:rFonts w:ascii="宋体" w:hAnsi="宋体" w:eastAsia="宋体" w:cs="宋体"/>
                <w:sz w:val="20"/>
                <w:szCs w:val="20"/>
              </w:rPr>
            </w:pPr>
          </w:p>
        </w:tc>
      </w:tr>
      <w:tr w14:paraId="63A6F264">
        <w:tc>
          <w:tcPr>
            <w:tcW w:w="1133" w:type="dxa"/>
            <w:vMerge w:val="continue"/>
          </w:tcPr>
          <w:p w14:paraId="7967C793">
            <w:pPr>
              <w:widowControl/>
              <w:numPr>
                <w:ilvl w:val="255"/>
                <w:numId w:val="0"/>
              </w:numPr>
              <w:spacing w:line="400" w:lineRule="exact"/>
              <w:rPr>
                <w:rFonts w:ascii="宋体" w:hAnsi="宋体" w:eastAsia="宋体" w:cs="宋体"/>
                <w:sz w:val="20"/>
                <w:szCs w:val="20"/>
              </w:rPr>
            </w:pPr>
          </w:p>
        </w:tc>
        <w:tc>
          <w:tcPr>
            <w:tcW w:w="6063" w:type="dxa"/>
          </w:tcPr>
          <w:p w14:paraId="1D60419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对于中度或重度RDEB患儿，及手部反复水疱瘢痕形成的患儿早期使用分指手套预防手指粘连，或使用软硅胶泡沫、浸有石蜡的纱布，将其切成条状进行手指分离。</w:t>
            </w:r>
          </w:p>
        </w:tc>
        <w:tc>
          <w:tcPr>
            <w:tcW w:w="1276" w:type="dxa"/>
            <w:vMerge w:val="continue"/>
          </w:tcPr>
          <w:p w14:paraId="10C15357">
            <w:pPr>
              <w:widowControl/>
              <w:numPr>
                <w:ilvl w:val="255"/>
                <w:numId w:val="0"/>
              </w:numPr>
              <w:spacing w:line="400" w:lineRule="exact"/>
              <w:rPr>
                <w:rFonts w:ascii="宋体" w:hAnsi="宋体" w:eastAsia="宋体" w:cs="宋体"/>
                <w:sz w:val="20"/>
                <w:szCs w:val="20"/>
              </w:rPr>
            </w:pPr>
          </w:p>
        </w:tc>
      </w:tr>
      <w:tr w14:paraId="1879A653">
        <w:tc>
          <w:tcPr>
            <w:tcW w:w="1133" w:type="dxa"/>
            <w:vMerge w:val="continue"/>
          </w:tcPr>
          <w:p w14:paraId="16ADD29A">
            <w:pPr>
              <w:widowControl/>
              <w:numPr>
                <w:ilvl w:val="255"/>
                <w:numId w:val="0"/>
              </w:numPr>
              <w:spacing w:line="400" w:lineRule="exact"/>
              <w:rPr>
                <w:rFonts w:ascii="宋体" w:hAnsi="宋体" w:eastAsia="宋体" w:cs="宋体"/>
                <w:sz w:val="20"/>
                <w:szCs w:val="20"/>
              </w:rPr>
            </w:pPr>
          </w:p>
        </w:tc>
        <w:tc>
          <w:tcPr>
            <w:tcW w:w="6063" w:type="dxa"/>
          </w:tcPr>
          <w:p w14:paraId="2575237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指趾甲增生的患儿可使用加温盐水泡软指甲后使用指甲锉挫表面，有厚指甲儿童每周一次。</w:t>
            </w:r>
          </w:p>
        </w:tc>
        <w:tc>
          <w:tcPr>
            <w:tcW w:w="1276" w:type="dxa"/>
            <w:vMerge w:val="continue"/>
          </w:tcPr>
          <w:p w14:paraId="19DEEEBE">
            <w:pPr>
              <w:widowControl/>
              <w:numPr>
                <w:ilvl w:val="255"/>
                <w:numId w:val="0"/>
              </w:numPr>
              <w:spacing w:line="400" w:lineRule="exact"/>
              <w:rPr>
                <w:rFonts w:ascii="宋体" w:hAnsi="宋体" w:eastAsia="宋体" w:cs="宋体"/>
                <w:sz w:val="20"/>
                <w:szCs w:val="20"/>
              </w:rPr>
            </w:pPr>
          </w:p>
        </w:tc>
      </w:tr>
      <w:tr w14:paraId="6E0E6104">
        <w:trPr>
          <w:trHeight w:val="842" w:hRule="atLeast"/>
        </w:trPr>
        <w:tc>
          <w:tcPr>
            <w:tcW w:w="1133" w:type="dxa"/>
            <w:vMerge w:val="restart"/>
          </w:tcPr>
          <w:p w14:paraId="0DEE739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3.4 头面部和颈部伤口护理</w:t>
            </w:r>
          </w:p>
        </w:tc>
        <w:tc>
          <w:tcPr>
            <w:tcW w:w="6063" w:type="dxa"/>
          </w:tcPr>
          <w:p w14:paraId="0FD4BBCD">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照护者应学会头面部护理措施：面部未感染的伤口，可采用暴露方法，或直接贴薄型美皮康，避免使用粘性胶带固定。注意面部伤口包扎的美观程度；</w:t>
            </w:r>
          </w:p>
        </w:tc>
        <w:tc>
          <w:tcPr>
            <w:tcW w:w="1276" w:type="dxa"/>
            <w:vMerge w:val="continue"/>
          </w:tcPr>
          <w:p w14:paraId="6F356270">
            <w:pPr>
              <w:widowControl/>
              <w:numPr>
                <w:ilvl w:val="255"/>
                <w:numId w:val="0"/>
              </w:numPr>
              <w:spacing w:line="400" w:lineRule="exact"/>
              <w:rPr>
                <w:rFonts w:ascii="宋体" w:hAnsi="宋体" w:eastAsia="宋体" w:cs="宋体"/>
                <w:sz w:val="20"/>
                <w:szCs w:val="20"/>
              </w:rPr>
            </w:pPr>
          </w:p>
        </w:tc>
      </w:tr>
      <w:tr w14:paraId="3AEE2881">
        <w:trPr>
          <w:trHeight w:val="409" w:hRule="atLeast"/>
        </w:trPr>
        <w:tc>
          <w:tcPr>
            <w:tcW w:w="1133" w:type="dxa"/>
            <w:vMerge w:val="continue"/>
          </w:tcPr>
          <w:p w14:paraId="38ACB9BC">
            <w:pPr>
              <w:widowControl/>
              <w:numPr>
                <w:ilvl w:val="255"/>
                <w:numId w:val="0"/>
              </w:numPr>
              <w:spacing w:line="400" w:lineRule="exact"/>
              <w:rPr>
                <w:rFonts w:ascii="宋体" w:hAnsi="宋体" w:eastAsia="宋体" w:cs="宋体"/>
                <w:sz w:val="20"/>
                <w:szCs w:val="20"/>
              </w:rPr>
            </w:pPr>
          </w:p>
        </w:tc>
        <w:tc>
          <w:tcPr>
            <w:tcW w:w="6063" w:type="dxa"/>
          </w:tcPr>
          <w:p w14:paraId="555E2EB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耳后皮肤易损伤，可使用敷料防止侧卧时耳朵受压破损；</w:t>
            </w:r>
          </w:p>
        </w:tc>
        <w:tc>
          <w:tcPr>
            <w:tcW w:w="1276" w:type="dxa"/>
            <w:vMerge w:val="continue"/>
          </w:tcPr>
          <w:p w14:paraId="193254DC">
            <w:pPr>
              <w:widowControl/>
              <w:numPr>
                <w:ilvl w:val="255"/>
                <w:numId w:val="0"/>
              </w:numPr>
              <w:spacing w:line="400" w:lineRule="exact"/>
              <w:rPr>
                <w:rFonts w:ascii="宋体" w:hAnsi="宋体" w:eastAsia="宋体" w:cs="宋体"/>
                <w:sz w:val="20"/>
                <w:szCs w:val="20"/>
              </w:rPr>
            </w:pPr>
          </w:p>
        </w:tc>
      </w:tr>
      <w:tr w14:paraId="5FCDA506">
        <w:trPr>
          <w:trHeight w:val="669" w:hRule="atLeast"/>
        </w:trPr>
        <w:tc>
          <w:tcPr>
            <w:tcW w:w="1133" w:type="dxa"/>
            <w:vMerge w:val="continue"/>
          </w:tcPr>
          <w:p w14:paraId="5D94B99F">
            <w:pPr>
              <w:widowControl/>
              <w:numPr>
                <w:ilvl w:val="255"/>
                <w:numId w:val="0"/>
              </w:numPr>
              <w:spacing w:line="400" w:lineRule="exact"/>
              <w:rPr>
                <w:rFonts w:ascii="宋体" w:hAnsi="宋体" w:eastAsia="宋体" w:cs="宋体"/>
                <w:sz w:val="20"/>
                <w:szCs w:val="20"/>
              </w:rPr>
            </w:pPr>
          </w:p>
        </w:tc>
        <w:tc>
          <w:tcPr>
            <w:tcW w:w="6063" w:type="dxa"/>
          </w:tcPr>
          <w:p w14:paraId="2DA2040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颈部包扎时注意松紧度，避免过紧压迫气管，也可使用定制高领弹力网衣进行固定。</w:t>
            </w:r>
          </w:p>
        </w:tc>
        <w:tc>
          <w:tcPr>
            <w:tcW w:w="1276" w:type="dxa"/>
            <w:vMerge w:val="continue"/>
          </w:tcPr>
          <w:p w14:paraId="3B8105F0">
            <w:pPr>
              <w:widowControl/>
              <w:numPr>
                <w:ilvl w:val="255"/>
                <w:numId w:val="0"/>
              </w:numPr>
              <w:spacing w:line="400" w:lineRule="exact"/>
              <w:rPr>
                <w:rFonts w:ascii="宋体" w:hAnsi="宋体" w:eastAsia="宋体" w:cs="宋体"/>
                <w:sz w:val="20"/>
                <w:szCs w:val="20"/>
              </w:rPr>
            </w:pPr>
          </w:p>
        </w:tc>
      </w:tr>
      <w:tr w14:paraId="08EAEE0C">
        <w:trPr>
          <w:trHeight w:val="312" w:hRule="atLeast"/>
        </w:trPr>
        <w:tc>
          <w:tcPr>
            <w:tcW w:w="1133" w:type="dxa"/>
            <w:vMerge w:val="restart"/>
          </w:tcPr>
          <w:p w14:paraId="6F40B30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3.5 肩部和腋下伤口护理</w:t>
            </w:r>
          </w:p>
        </w:tc>
        <w:tc>
          <w:tcPr>
            <w:tcW w:w="6063" w:type="dxa"/>
          </w:tcPr>
          <w:p w14:paraId="20217B0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照护者应学会肩部护理措施：应避免侧睡，如需侧睡可使用加厚海绵床垫，避免长时间压迫肩部</w:t>
            </w:r>
          </w:p>
        </w:tc>
        <w:tc>
          <w:tcPr>
            <w:tcW w:w="1276" w:type="dxa"/>
            <w:vMerge w:val="continue"/>
          </w:tcPr>
          <w:p w14:paraId="3F7865EC">
            <w:pPr>
              <w:widowControl/>
              <w:numPr>
                <w:ilvl w:val="255"/>
                <w:numId w:val="0"/>
              </w:numPr>
              <w:spacing w:line="400" w:lineRule="exact"/>
              <w:rPr>
                <w:rFonts w:ascii="宋体" w:hAnsi="宋体" w:eastAsia="宋体" w:cs="宋体"/>
                <w:sz w:val="20"/>
                <w:szCs w:val="20"/>
              </w:rPr>
            </w:pPr>
          </w:p>
        </w:tc>
      </w:tr>
      <w:tr w14:paraId="736CBDA5">
        <w:trPr>
          <w:trHeight w:val="312" w:hRule="atLeast"/>
        </w:trPr>
        <w:tc>
          <w:tcPr>
            <w:tcW w:w="1133" w:type="dxa"/>
            <w:vMerge w:val="continue"/>
          </w:tcPr>
          <w:p w14:paraId="37BAF7A2">
            <w:pPr>
              <w:widowControl/>
              <w:numPr>
                <w:ilvl w:val="255"/>
                <w:numId w:val="0"/>
              </w:numPr>
              <w:spacing w:line="400" w:lineRule="exact"/>
              <w:rPr>
                <w:rFonts w:ascii="宋体" w:hAnsi="宋体" w:eastAsia="宋体" w:cs="宋体"/>
                <w:sz w:val="20"/>
                <w:szCs w:val="20"/>
              </w:rPr>
            </w:pPr>
          </w:p>
        </w:tc>
        <w:tc>
          <w:tcPr>
            <w:tcW w:w="6063" w:type="dxa"/>
          </w:tcPr>
          <w:p w14:paraId="1ABAE15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注意保持腋下的清洁，固定时可采用“桥式”贴法将敷料固定于胸壁或背部，非直接跨过腋窝顶端。</w:t>
            </w:r>
          </w:p>
        </w:tc>
        <w:tc>
          <w:tcPr>
            <w:tcW w:w="1276" w:type="dxa"/>
            <w:vMerge w:val="continue"/>
          </w:tcPr>
          <w:p w14:paraId="0E627D47">
            <w:pPr>
              <w:widowControl/>
              <w:numPr>
                <w:ilvl w:val="255"/>
                <w:numId w:val="0"/>
              </w:numPr>
              <w:spacing w:line="400" w:lineRule="exact"/>
              <w:rPr>
                <w:rFonts w:ascii="宋体" w:hAnsi="宋体" w:eastAsia="宋体" w:cs="宋体"/>
                <w:sz w:val="20"/>
                <w:szCs w:val="20"/>
              </w:rPr>
            </w:pPr>
          </w:p>
        </w:tc>
      </w:tr>
      <w:tr w14:paraId="6773CB5C">
        <w:trPr>
          <w:trHeight w:val="660" w:hRule="atLeast"/>
        </w:trPr>
        <w:tc>
          <w:tcPr>
            <w:tcW w:w="1133" w:type="dxa"/>
            <w:vMerge w:val="restart"/>
          </w:tcPr>
          <w:p w14:paraId="2DB44D4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3.6肛周及会阴部护理</w:t>
            </w:r>
          </w:p>
          <w:p w14:paraId="7904F9F3">
            <w:pPr>
              <w:widowControl/>
              <w:numPr>
                <w:ilvl w:val="255"/>
                <w:numId w:val="0"/>
              </w:numPr>
              <w:spacing w:line="400" w:lineRule="exact"/>
              <w:rPr>
                <w:rFonts w:ascii="宋体" w:hAnsi="宋体" w:eastAsia="宋体" w:cs="宋体"/>
                <w:sz w:val="20"/>
                <w:szCs w:val="20"/>
              </w:rPr>
            </w:pPr>
          </w:p>
        </w:tc>
        <w:tc>
          <w:tcPr>
            <w:tcW w:w="6063" w:type="dxa"/>
          </w:tcPr>
          <w:p w14:paraId="4EF5CDB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照护者应学会肛周护理措施：尿布区域糜烂的皮肤可通过大量涂抹凡士林与液体石蜡的等比例混合物或使用专门的非粘连性敷料保护。</w:t>
            </w:r>
          </w:p>
        </w:tc>
        <w:tc>
          <w:tcPr>
            <w:tcW w:w="1276" w:type="dxa"/>
            <w:vMerge w:val="continue"/>
          </w:tcPr>
          <w:p w14:paraId="46E20201">
            <w:pPr>
              <w:widowControl/>
              <w:numPr>
                <w:ilvl w:val="255"/>
                <w:numId w:val="0"/>
              </w:numPr>
              <w:spacing w:line="400" w:lineRule="exact"/>
              <w:rPr>
                <w:rFonts w:ascii="宋体" w:hAnsi="宋体" w:eastAsia="宋体" w:cs="宋体"/>
                <w:sz w:val="20"/>
                <w:szCs w:val="20"/>
              </w:rPr>
            </w:pPr>
          </w:p>
        </w:tc>
      </w:tr>
      <w:tr w14:paraId="541AE6A6">
        <w:tc>
          <w:tcPr>
            <w:tcW w:w="1133" w:type="dxa"/>
            <w:vMerge w:val="continue"/>
          </w:tcPr>
          <w:p w14:paraId="604D70F2">
            <w:pPr>
              <w:widowControl/>
              <w:numPr>
                <w:ilvl w:val="255"/>
                <w:numId w:val="0"/>
              </w:numPr>
              <w:spacing w:line="400" w:lineRule="exact"/>
              <w:rPr>
                <w:rFonts w:ascii="宋体" w:hAnsi="宋体" w:eastAsia="宋体" w:cs="宋体"/>
                <w:sz w:val="20"/>
                <w:szCs w:val="20"/>
              </w:rPr>
            </w:pPr>
          </w:p>
        </w:tc>
        <w:tc>
          <w:tcPr>
            <w:tcW w:w="6063" w:type="dxa"/>
          </w:tcPr>
          <w:p w14:paraId="15F2DCA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对于肛周及会阴部的皮肤要做好清洁消毒，或在肛周使用液体石蜡等润滑剂，减少排便时的疼痛及水疱的产生。</w:t>
            </w:r>
          </w:p>
        </w:tc>
        <w:tc>
          <w:tcPr>
            <w:tcW w:w="1276" w:type="dxa"/>
            <w:vMerge w:val="continue"/>
          </w:tcPr>
          <w:p w14:paraId="21083D0D">
            <w:pPr>
              <w:widowControl/>
              <w:numPr>
                <w:ilvl w:val="255"/>
                <w:numId w:val="0"/>
              </w:numPr>
              <w:spacing w:line="400" w:lineRule="exact"/>
              <w:rPr>
                <w:rFonts w:ascii="宋体" w:hAnsi="宋体" w:eastAsia="宋体" w:cs="宋体"/>
                <w:sz w:val="20"/>
                <w:szCs w:val="20"/>
              </w:rPr>
            </w:pPr>
          </w:p>
        </w:tc>
      </w:tr>
      <w:tr w14:paraId="761C4ED4">
        <w:tc>
          <w:tcPr>
            <w:tcW w:w="1133" w:type="dxa"/>
            <w:vMerge w:val="continue"/>
            <w:tcBorders>
              <w:bottom w:val="single" w:color="auto" w:sz="12" w:space="0"/>
            </w:tcBorders>
          </w:tcPr>
          <w:p w14:paraId="270F60B9">
            <w:pPr>
              <w:widowControl/>
              <w:numPr>
                <w:ilvl w:val="255"/>
                <w:numId w:val="0"/>
              </w:numPr>
              <w:spacing w:line="400" w:lineRule="exact"/>
              <w:rPr>
                <w:rFonts w:ascii="宋体" w:hAnsi="宋体" w:eastAsia="宋体" w:cs="宋体"/>
                <w:sz w:val="20"/>
                <w:szCs w:val="20"/>
              </w:rPr>
            </w:pPr>
          </w:p>
        </w:tc>
        <w:tc>
          <w:tcPr>
            <w:tcW w:w="6063" w:type="dxa"/>
            <w:tcBorders>
              <w:bottom w:val="single" w:color="auto" w:sz="12" w:space="0"/>
            </w:tcBorders>
          </w:tcPr>
          <w:p w14:paraId="13FE5AB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交界型</w:t>
            </w:r>
            <w:r>
              <w:rPr>
                <w:rFonts w:ascii="宋体" w:hAnsi="宋体" w:eastAsia="宋体" w:cs="宋体"/>
                <w:sz w:val="20"/>
                <w:szCs w:val="20"/>
              </w:rPr>
              <w:t>EB</w:t>
            </w:r>
            <w:r>
              <w:rPr>
                <w:rFonts w:hint="eastAsia" w:ascii="宋体" w:hAnsi="宋体" w:eastAsia="宋体" w:cs="宋体"/>
                <w:sz w:val="20"/>
                <w:szCs w:val="20"/>
              </w:rPr>
              <w:t>患儿尿布区域易发生过度肉芽肿，可通过遵医嘱使用局部类固醇软膏进行涂抹。</w:t>
            </w:r>
          </w:p>
        </w:tc>
        <w:tc>
          <w:tcPr>
            <w:tcW w:w="1276" w:type="dxa"/>
            <w:vMerge w:val="continue"/>
            <w:tcBorders>
              <w:bottom w:val="single" w:color="auto" w:sz="12" w:space="0"/>
            </w:tcBorders>
          </w:tcPr>
          <w:p w14:paraId="1FEA2F10">
            <w:pPr>
              <w:widowControl/>
              <w:numPr>
                <w:ilvl w:val="255"/>
                <w:numId w:val="0"/>
              </w:numPr>
              <w:spacing w:line="400" w:lineRule="exact"/>
              <w:rPr>
                <w:rFonts w:ascii="宋体" w:hAnsi="宋体" w:eastAsia="宋体" w:cs="宋体"/>
                <w:sz w:val="20"/>
                <w:szCs w:val="20"/>
              </w:rPr>
            </w:pPr>
          </w:p>
        </w:tc>
      </w:tr>
    </w:tbl>
    <w:p w14:paraId="370908F0">
      <w:pPr>
        <w:spacing w:line="400" w:lineRule="exact"/>
        <w:rPr>
          <w:rFonts w:ascii="Times New Roman Regular" w:hAnsi="Times New Roman Regular" w:cs="Times New Roman Regular"/>
          <w:b/>
          <w:bCs/>
        </w:rPr>
      </w:pPr>
      <w:r>
        <w:rPr>
          <w:rFonts w:hint="eastAsia" w:ascii="Times New Roman Regular" w:hAnsi="Times New Roman Regular" w:cs="Times New Roman Regular"/>
          <w:b/>
          <w:bCs/>
        </w:rPr>
        <w:t>4.疼痛护理</w:t>
      </w:r>
    </w:p>
    <w:p w14:paraId="70A8A4A5">
      <w:pPr>
        <w:spacing w:line="400" w:lineRule="exact"/>
        <w:ind w:firstLine="480" w:firstLineChars="200"/>
        <w:rPr>
          <w:rFonts w:ascii="宋体" w:hAnsi="宋体" w:eastAsia="宋体" w:cs="宋体"/>
        </w:rPr>
      </w:pPr>
      <w:r>
        <w:rPr>
          <w:rFonts w:hint="eastAsia" w:ascii="宋体" w:hAnsi="宋体" w:eastAsia="宋体" w:cs="宋体"/>
          <w:b/>
          <w:bCs/>
        </w:rPr>
        <w:t>能力目标：</w:t>
      </w:r>
      <w:r>
        <w:rPr>
          <w:rFonts w:hint="eastAsia" w:ascii="宋体" w:hAnsi="宋体" w:eastAsia="宋体" w:cs="宋体"/>
        </w:rPr>
        <w:t>照护者能够根据患儿年龄，选择合适的疼痛评估工具并完成评分记录，根据评分选择合适的镇痛措施，明确具体就医时机。</w:t>
      </w:r>
    </w:p>
    <w:tbl>
      <w:tblPr>
        <w:tblStyle w:val="3"/>
        <w:tblW w:w="84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3"/>
        <w:gridCol w:w="6063"/>
        <w:gridCol w:w="1276"/>
      </w:tblGrid>
      <w:tr w14:paraId="3E005A0C">
        <w:tc>
          <w:tcPr>
            <w:tcW w:w="1133" w:type="dxa"/>
            <w:tcBorders>
              <w:top w:val="single" w:color="auto" w:sz="12" w:space="0"/>
              <w:bottom w:val="single" w:color="auto" w:sz="6" w:space="0"/>
            </w:tcBorders>
          </w:tcPr>
          <w:p w14:paraId="10C13665">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类别</w:t>
            </w:r>
          </w:p>
        </w:tc>
        <w:tc>
          <w:tcPr>
            <w:tcW w:w="6063" w:type="dxa"/>
            <w:tcBorders>
              <w:top w:val="single" w:color="auto" w:sz="12" w:space="0"/>
              <w:bottom w:val="single" w:color="auto" w:sz="6" w:space="0"/>
            </w:tcBorders>
          </w:tcPr>
          <w:p w14:paraId="5F507C1C">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具体干预方案内容</w:t>
            </w:r>
          </w:p>
        </w:tc>
        <w:tc>
          <w:tcPr>
            <w:tcW w:w="1276" w:type="dxa"/>
            <w:tcBorders>
              <w:top w:val="single" w:color="auto" w:sz="12" w:space="0"/>
              <w:bottom w:val="single" w:color="auto" w:sz="6" w:space="0"/>
            </w:tcBorders>
          </w:tcPr>
          <w:p w14:paraId="2DB61996">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干预形式</w:t>
            </w:r>
          </w:p>
        </w:tc>
      </w:tr>
      <w:tr w14:paraId="70124209">
        <w:tc>
          <w:tcPr>
            <w:tcW w:w="1133" w:type="dxa"/>
            <w:vMerge w:val="restart"/>
            <w:tcBorders>
              <w:top w:val="single" w:color="auto" w:sz="6" w:space="0"/>
            </w:tcBorders>
          </w:tcPr>
          <w:p w14:paraId="2E8B4DE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4.1 换药前</w:t>
            </w:r>
          </w:p>
        </w:tc>
        <w:tc>
          <w:tcPr>
            <w:tcW w:w="6063" w:type="dxa"/>
            <w:tcBorders>
              <w:top w:val="single" w:color="auto" w:sz="6" w:space="0"/>
            </w:tcBorders>
          </w:tcPr>
          <w:p w14:paraId="31399FE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照护者应学会使用生理盐水浸浴或涂抹油剂产品（如凡士林、液体石蜡等）软化敷料后再祛除敷料，但要注意浸湿面积，尤其是新生儿，面积过大会降低身体温度。</w:t>
            </w:r>
          </w:p>
        </w:tc>
        <w:tc>
          <w:tcPr>
            <w:tcW w:w="1276" w:type="dxa"/>
            <w:vMerge w:val="restart"/>
            <w:tcBorders>
              <w:top w:val="single" w:color="auto" w:sz="6" w:space="0"/>
            </w:tcBorders>
          </w:tcPr>
          <w:p w14:paraId="0AB8C8E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6DFFE0D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操作指导</w:t>
            </w:r>
          </w:p>
          <w:p w14:paraId="0C6093C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tc>
      </w:tr>
      <w:tr w14:paraId="3F574073">
        <w:tc>
          <w:tcPr>
            <w:tcW w:w="1133" w:type="dxa"/>
            <w:vMerge w:val="continue"/>
          </w:tcPr>
          <w:p w14:paraId="077C4012">
            <w:pPr>
              <w:widowControl/>
              <w:numPr>
                <w:ilvl w:val="255"/>
                <w:numId w:val="0"/>
              </w:numPr>
              <w:spacing w:line="400" w:lineRule="exact"/>
              <w:rPr>
                <w:rFonts w:ascii="宋体" w:hAnsi="宋体" w:eastAsia="宋体" w:cs="宋体"/>
                <w:sz w:val="20"/>
                <w:szCs w:val="20"/>
              </w:rPr>
            </w:pPr>
          </w:p>
        </w:tc>
        <w:tc>
          <w:tcPr>
            <w:tcW w:w="6063" w:type="dxa"/>
          </w:tcPr>
          <w:p w14:paraId="44B29C2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针对已经发生伤口粘连的地方或粘到皮肤上的胶带使用黏胶去除剂（SMAR）后轻柔的剥离敷料。</w:t>
            </w:r>
          </w:p>
        </w:tc>
        <w:tc>
          <w:tcPr>
            <w:tcW w:w="1276" w:type="dxa"/>
            <w:vMerge w:val="continue"/>
          </w:tcPr>
          <w:p w14:paraId="131C4A33">
            <w:pPr>
              <w:widowControl/>
              <w:numPr>
                <w:ilvl w:val="255"/>
                <w:numId w:val="0"/>
              </w:numPr>
              <w:spacing w:line="400" w:lineRule="exact"/>
              <w:rPr>
                <w:rFonts w:ascii="宋体" w:hAnsi="宋体" w:eastAsia="宋体" w:cs="宋体"/>
                <w:sz w:val="20"/>
                <w:szCs w:val="20"/>
              </w:rPr>
            </w:pPr>
          </w:p>
        </w:tc>
      </w:tr>
      <w:tr w14:paraId="01896A41">
        <w:tc>
          <w:tcPr>
            <w:tcW w:w="1133" w:type="dxa"/>
            <w:vMerge w:val="restart"/>
          </w:tcPr>
          <w:p w14:paraId="11503EE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4.2 换药中</w:t>
            </w:r>
          </w:p>
        </w:tc>
        <w:tc>
          <w:tcPr>
            <w:tcW w:w="6063" w:type="dxa"/>
          </w:tcPr>
          <w:p w14:paraId="4E8A674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照护者应学会根据患儿年龄选择合适的、经过信效度验证的疼痛评估量表：① 新生儿使用新生儿疼痛评估量表（NIPS）；② 新生儿–3 岁使用 FLACC 量表；③ 3–7 岁使用 Wong-Baker 面部表情疼痛量表；④ &gt;7 岁使用视觉模拟评分法（VAS）。照护者应能在日常护理和换药过程中使用相应量表观察并记录疼痛情况，为疼痛管理和就医提供依据。</w:t>
            </w:r>
          </w:p>
        </w:tc>
        <w:tc>
          <w:tcPr>
            <w:tcW w:w="1276" w:type="dxa"/>
            <w:vMerge w:val="continue"/>
          </w:tcPr>
          <w:p w14:paraId="2EA8170F">
            <w:pPr>
              <w:widowControl/>
              <w:numPr>
                <w:ilvl w:val="255"/>
                <w:numId w:val="0"/>
              </w:numPr>
              <w:spacing w:line="400" w:lineRule="exact"/>
              <w:rPr>
                <w:rFonts w:ascii="宋体" w:hAnsi="宋体" w:eastAsia="宋体" w:cs="宋体"/>
                <w:sz w:val="20"/>
                <w:szCs w:val="20"/>
              </w:rPr>
            </w:pPr>
          </w:p>
        </w:tc>
      </w:tr>
      <w:tr w14:paraId="571E85D1">
        <w:tc>
          <w:tcPr>
            <w:tcW w:w="1133" w:type="dxa"/>
            <w:vMerge w:val="continue"/>
          </w:tcPr>
          <w:p w14:paraId="0FBDDDE3">
            <w:pPr>
              <w:widowControl/>
              <w:numPr>
                <w:ilvl w:val="255"/>
                <w:numId w:val="0"/>
              </w:numPr>
              <w:spacing w:line="400" w:lineRule="exact"/>
              <w:rPr>
                <w:rFonts w:ascii="宋体" w:hAnsi="宋体" w:eastAsia="宋体" w:cs="宋体"/>
                <w:sz w:val="20"/>
                <w:szCs w:val="20"/>
              </w:rPr>
            </w:pPr>
          </w:p>
        </w:tc>
        <w:tc>
          <w:tcPr>
            <w:tcW w:w="6063" w:type="dxa"/>
          </w:tcPr>
          <w:p w14:paraId="01F60FA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照护者应在医护人员的指导下提供合适的镇痛措施：轻度疼痛可使用如对乙酰氨基酚和布洛芬，新生儿可根据体重使用24%蔗糖或20%-30%浓度的葡萄糖溶液。严重疼痛可根据医嘱使用止痛药物。</w:t>
            </w:r>
          </w:p>
        </w:tc>
        <w:tc>
          <w:tcPr>
            <w:tcW w:w="1276" w:type="dxa"/>
            <w:vMerge w:val="continue"/>
          </w:tcPr>
          <w:p w14:paraId="57C26160">
            <w:pPr>
              <w:widowControl/>
              <w:numPr>
                <w:ilvl w:val="255"/>
                <w:numId w:val="0"/>
              </w:numPr>
              <w:spacing w:line="400" w:lineRule="exact"/>
              <w:rPr>
                <w:rFonts w:ascii="宋体" w:hAnsi="宋体" w:eastAsia="宋体" w:cs="宋体"/>
                <w:sz w:val="20"/>
                <w:szCs w:val="20"/>
              </w:rPr>
            </w:pPr>
          </w:p>
        </w:tc>
      </w:tr>
      <w:tr w14:paraId="1EE43258">
        <w:tc>
          <w:tcPr>
            <w:tcW w:w="1133" w:type="dxa"/>
            <w:tcBorders>
              <w:bottom w:val="single" w:color="auto" w:sz="12" w:space="0"/>
            </w:tcBorders>
          </w:tcPr>
          <w:p w14:paraId="4900853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4.3 换药后</w:t>
            </w:r>
          </w:p>
        </w:tc>
        <w:tc>
          <w:tcPr>
            <w:tcW w:w="6063" w:type="dxa"/>
            <w:tcBorders>
              <w:bottom w:val="single" w:color="auto" w:sz="12" w:space="0"/>
            </w:tcBorders>
          </w:tcPr>
          <w:p w14:paraId="34040E4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w:t>
            </w:r>
            <w:r>
              <w:rPr>
                <w:rFonts w:hint="eastAsia" w:ascii="宋体" w:hAnsi="宋体" w:eastAsia="宋体" w:cs="宋体"/>
                <w:sz w:val="20"/>
                <w:szCs w:val="20"/>
                <w:lang w:eastAsia="zh-Hans"/>
              </w:rPr>
              <w:t>换药后给予孩子安抚、拥抱、轻柔触摸</w:t>
            </w:r>
            <w:r>
              <w:rPr>
                <w:rFonts w:hint="eastAsia" w:ascii="宋体" w:hAnsi="宋体" w:eastAsia="宋体" w:cs="宋体"/>
                <w:sz w:val="20"/>
                <w:szCs w:val="20"/>
              </w:rPr>
              <w:t>；</w:t>
            </w:r>
            <w:r>
              <w:rPr>
                <w:rFonts w:hint="eastAsia" w:ascii="宋体" w:hAnsi="宋体" w:eastAsia="宋体" w:cs="宋体"/>
                <w:sz w:val="20"/>
                <w:szCs w:val="20"/>
                <w:lang w:eastAsia="zh-Hans"/>
              </w:rPr>
              <w:t>保持安静环境，可放轻音乐、讲故事帮助放松</w:t>
            </w:r>
            <w:r>
              <w:rPr>
                <w:rFonts w:hint="eastAsia" w:ascii="宋体" w:hAnsi="宋体" w:eastAsia="宋体" w:cs="宋体"/>
                <w:sz w:val="20"/>
                <w:szCs w:val="20"/>
              </w:rPr>
              <w:t>；</w:t>
            </w:r>
            <w:r>
              <w:rPr>
                <w:rFonts w:hint="eastAsia" w:ascii="宋体" w:hAnsi="宋体" w:eastAsia="宋体" w:cs="宋体"/>
                <w:sz w:val="20"/>
                <w:szCs w:val="20"/>
                <w:lang w:eastAsia="zh-Hans"/>
              </w:rPr>
              <w:t>可建立“换药后奖励”，增强患儿配合</w:t>
            </w:r>
            <w:r>
              <w:rPr>
                <w:rFonts w:hint="eastAsia" w:ascii="宋体" w:hAnsi="宋体" w:eastAsia="宋体" w:cs="宋体"/>
                <w:sz w:val="20"/>
                <w:szCs w:val="20"/>
              </w:rPr>
              <w:t>意愿。</w:t>
            </w:r>
          </w:p>
        </w:tc>
        <w:tc>
          <w:tcPr>
            <w:tcW w:w="1276" w:type="dxa"/>
            <w:vMerge w:val="continue"/>
            <w:tcBorders>
              <w:bottom w:val="single" w:color="auto" w:sz="12" w:space="0"/>
            </w:tcBorders>
          </w:tcPr>
          <w:p w14:paraId="1AA3F469">
            <w:pPr>
              <w:widowControl/>
              <w:numPr>
                <w:ilvl w:val="255"/>
                <w:numId w:val="0"/>
              </w:numPr>
              <w:spacing w:line="400" w:lineRule="exact"/>
              <w:rPr>
                <w:rFonts w:ascii="宋体" w:hAnsi="宋体" w:eastAsia="宋体" w:cs="宋体"/>
                <w:sz w:val="20"/>
                <w:szCs w:val="20"/>
              </w:rPr>
            </w:pPr>
          </w:p>
        </w:tc>
      </w:tr>
    </w:tbl>
    <w:p w14:paraId="336C1769">
      <w:pPr>
        <w:spacing w:line="400" w:lineRule="exact"/>
        <w:rPr>
          <w:rFonts w:ascii="Times New Roman Regular" w:hAnsi="Times New Roman Regular" w:cs="Times New Roman Regular"/>
          <w:b/>
          <w:bCs/>
        </w:rPr>
      </w:pPr>
      <w:r>
        <w:rPr>
          <w:rFonts w:hint="eastAsia" w:ascii="Times New Roman Regular" w:hAnsi="Times New Roman Regular" w:cs="Times New Roman Regular"/>
          <w:b/>
          <w:bCs/>
        </w:rPr>
        <w:t>5.营养支持</w:t>
      </w:r>
    </w:p>
    <w:p w14:paraId="54CAEEE2">
      <w:pPr>
        <w:spacing w:line="400" w:lineRule="exact"/>
        <w:ind w:firstLine="480" w:firstLineChars="200"/>
        <w:rPr>
          <w:rFonts w:ascii="宋体" w:hAnsi="宋体" w:eastAsia="宋体" w:cs="宋体"/>
        </w:rPr>
      </w:pPr>
      <w:r>
        <w:rPr>
          <w:rFonts w:hint="eastAsia" w:ascii="宋体" w:hAnsi="宋体" w:eastAsia="宋体" w:cs="宋体"/>
          <w:b/>
          <w:bCs/>
        </w:rPr>
        <w:t>能力目标：</w:t>
      </w:r>
      <w:r>
        <w:rPr>
          <w:rFonts w:ascii="宋体" w:hAnsi="宋体" w:eastAsia="宋体" w:cs="宋体"/>
        </w:rPr>
        <w:t>照护者能够理解营养在EB患儿皮肤修复与全身健康中的重要性，掌握根据患儿年龄、病情和进食耐受情况进行饮食选择与搭配的方法，合理补充蛋白质、热量、维生素和微量元素，发现和应对常见的营养问题</w:t>
      </w:r>
      <w:r>
        <w:rPr>
          <w:rFonts w:hint="eastAsia" w:ascii="宋体" w:hAnsi="宋体" w:eastAsia="宋体" w:cs="宋体"/>
        </w:rPr>
        <w:t>，</w:t>
      </w:r>
      <w:r>
        <w:rPr>
          <w:rFonts w:ascii="宋体" w:hAnsi="宋体" w:eastAsia="宋体" w:cs="宋体"/>
        </w:rPr>
        <w:t>并在必要时及时寻求专业营养指导，从而促进伤口愈合、增强免疫力和改善生长发育。</w:t>
      </w:r>
    </w:p>
    <w:tbl>
      <w:tblPr>
        <w:tblStyle w:val="3"/>
        <w:tblW w:w="84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2"/>
        <w:gridCol w:w="6284"/>
        <w:gridCol w:w="1276"/>
      </w:tblGrid>
      <w:tr w14:paraId="04E0E21B">
        <w:trPr>
          <w:trHeight w:val="316" w:hRule="atLeast"/>
          <w:tblHeader/>
        </w:trPr>
        <w:tc>
          <w:tcPr>
            <w:tcW w:w="912" w:type="dxa"/>
            <w:tcBorders>
              <w:top w:val="single" w:color="auto" w:sz="12" w:space="0"/>
              <w:bottom w:val="single" w:color="auto" w:sz="6" w:space="0"/>
            </w:tcBorders>
          </w:tcPr>
          <w:p w14:paraId="083B48D8">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类别</w:t>
            </w:r>
          </w:p>
        </w:tc>
        <w:tc>
          <w:tcPr>
            <w:tcW w:w="6284" w:type="dxa"/>
            <w:tcBorders>
              <w:top w:val="single" w:color="auto" w:sz="12" w:space="0"/>
              <w:bottom w:val="single" w:color="auto" w:sz="6" w:space="0"/>
            </w:tcBorders>
          </w:tcPr>
          <w:p w14:paraId="656639CB">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具体干预方案内容</w:t>
            </w:r>
          </w:p>
        </w:tc>
        <w:tc>
          <w:tcPr>
            <w:tcW w:w="1276" w:type="dxa"/>
            <w:tcBorders>
              <w:top w:val="single" w:color="auto" w:sz="12" w:space="0"/>
              <w:bottom w:val="single" w:color="auto" w:sz="6" w:space="0"/>
            </w:tcBorders>
          </w:tcPr>
          <w:p w14:paraId="1DC40AD9">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干预形式</w:t>
            </w:r>
          </w:p>
        </w:tc>
      </w:tr>
      <w:tr w14:paraId="36A19A06">
        <w:trPr>
          <w:trHeight w:val="946" w:hRule="atLeast"/>
        </w:trPr>
        <w:tc>
          <w:tcPr>
            <w:tcW w:w="912" w:type="dxa"/>
            <w:vMerge w:val="restart"/>
            <w:tcBorders>
              <w:top w:val="single" w:color="auto" w:sz="6" w:space="0"/>
            </w:tcBorders>
          </w:tcPr>
          <w:p w14:paraId="424ECCE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5.1日常饮食指导</w:t>
            </w:r>
          </w:p>
        </w:tc>
        <w:tc>
          <w:tcPr>
            <w:tcW w:w="6284" w:type="dxa"/>
            <w:tcBorders>
              <w:top w:val="single" w:color="auto" w:sz="6" w:space="0"/>
            </w:tcBorders>
          </w:tcPr>
          <w:p w14:paraId="64184C87">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照护者应掌握营养护理措施：</w:t>
            </w:r>
            <w:r>
              <w:rPr>
                <w:rFonts w:ascii="宋体" w:hAnsi="宋体" w:eastAsia="宋体" w:cs="宋体"/>
                <w:sz w:val="20"/>
                <w:szCs w:val="20"/>
              </w:rPr>
              <w:t>EB</w:t>
            </w:r>
            <w:r>
              <w:rPr>
                <w:rFonts w:hint="eastAsia" w:ascii="宋体" w:hAnsi="宋体" w:eastAsia="宋体" w:cs="宋体"/>
                <w:sz w:val="20"/>
                <w:szCs w:val="20"/>
              </w:rPr>
              <w:t>患儿应食用高蛋白高维生素温凉易吞咽的饮食。</w:t>
            </w:r>
          </w:p>
        </w:tc>
        <w:tc>
          <w:tcPr>
            <w:tcW w:w="1276" w:type="dxa"/>
            <w:vMerge w:val="restart"/>
            <w:tcBorders>
              <w:top w:val="single" w:color="auto" w:sz="6" w:space="0"/>
            </w:tcBorders>
          </w:tcPr>
          <w:p w14:paraId="133CCC3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p w14:paraId="1E73D09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讲座</w:t>
            </w:r>
          </w:p>
          <w:p w14:paraId="5C15426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tc>
      </w:tr>
      <w:tr w14:paraId="50DCDABF">
        <w:trPr>
          <w:trHeight w:val="946" w:hRule="atLeast"/>
        </w:trPr>
        <w:tc>
          <w:tcPr>
            <w:tcW w:w="912" w:type="dxa"/>
            <w:vMerge w:val="continue"/>
          </w:tcPr>
          <w:p w14:paraId="709EB6E3">
            <w:pPr>
              <w:widowControl/>
              <w:numPr>
                <w:ilvl w:val="255"/>
                <w:numId w:val="0"/>
              </w:numPr>
              <w:spacing w:line="400" w:lineRule="exact"/>
              <w:rPr>
                <w:rFonts w:ascii="宋体" w:hAnsi="宋体" w:eastAsia="宋体" w:cs="宋体"/>
                <w:sz w:val="20"/>
                <w:szCs w:val="20"/>
              </w:rPr>
            </w:pPr>
          </w:p>
        </w:tc>
        <w:tc>
          <w:tcPr>
            <w:tcW w:w="6284" w:type="dxa"/>
          </w:tcPr>
          <w:p w14:paraId="13DB131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使用母乳喂养</w:t>
            </w:r>
            <w:r>
              <w:rPr>
                <w:rFonts w:ascii="宋体" w:hAnsi="宋体" w:eastAsia="宋体" w:cs="宋体"/>
                <w:sz w:val="20"/>
                <w:szCs w:val="20"/>
              </w:rPr>
              <w:t>EB</w:t>
            </w:r>
            <w:r>
              <w:rPr>
                <w:rFonts w:hint="eastAsia" w:ascii="宋体" w:hAnsi="宋体" w:eastAsia="宋体" w:cs="宋体"/>
                <w:sz w:val="20"/>
                <w:szCs w:val="20"/>
              </w:rPr>
              <w:t>婴儿，若不能母乳喂养或体重增长较慢，需必要补充加强营养的配方奶粉；</w:t>
            </w:r>
          </w:p>
        </w:tc>
        <w:tc>
          <w:tcPr>
            <w:tcW w:w="1276" w:type="dxa"/>
            <w:vMerge w:val="continue"/>
          </w:tcPr>
          <w:p w14:paraId="5677E6C4">
            <w:pPr>
              <w:widowControl/>
              <w:numPr>
                <w:ilvl w:val="255"/>
                <w:numId w:val="0"/>
              </w:numPr>
              <w:spacing w:line="400" w:lineRule="exact"/>
              <w:rPr>
                <w:rFonts w:ascii="宋体" w:hAnsi="宋体" w:eastAsia="宋体" w:cs="宋体"/>
                <w:sz w:val="20"/>
                <w:szCs w:val="20"/>
              </w:rPr>
            </w:pPr>
          </w:p>
        </w:tc>
      </w:tr>
      <w:tr w14:paraId="51750A95">
        <w:tc>
          <w:tcPr>
            <w:tcW w:w="912" w:type="dxa"/>
            <w:vMerge w:val="restart"/>
          </w:tcPr>
          <w:p w14:paraId="43C0C0A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5.2营养不良</w:t>
            </w:r>
          </w:p>
          <w:p w14:paraId="54ABBCC1">
            <w:pPr>
              <w:widowControl/>
              <w:numPr>
                <w:ilvl w:val="255"/>
                <w:numId w:val="0"/>
              </w:numPr>
              <w:spacing w:line="400" w:lineRule="exact"/>
              <w:rPr>
                <w:rFonts w:ascii="宋体" w:hAnsi="宋体" w:eastAsia="宋体" w:cs="宋体"/>
                <w:sz w:val="20"/>
                <w:szCs w:val="20"/>
              </w:rPr>
            </w:pPr>
          </w:p>
        </w:tc>
        <w:tc>
          <w:tcPr>
            <w:tcW w:w="6284" w:type="dxa"/>
          </w:tcPr>
          <w:p w14:paraId="5B751C2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lang w:eastAsia="zh-Hans"/>
              </w:rPr>
              <w:t>所有重型EB患儿，尤其是RDEB或JEB，均存在营养不良，需要营养</w:t>
            </w:r>
            <w:r>
              <w:rPr>
                <w:rFonts w:hint="eastAsia" w:ascii="宋体" w:hAnsi="宋体" w:eastAsia="宋体" w:cs="宋体"/>
                <w:sz w:val="20"/>
                <w:szCs w:val="20"/>
              </w:rPr>
              <w:t>支</w:t>
            </w:r>
            <w:r>
              <w:rPr>
                <w:rFonts w:hint="eastAsia" w:ascii="宋体" w:hAnsi="宋体" w:eastAsia="宋体" w:cs="宋体"/>
                <w:sz w:val="20"/>
                <w:szCs w:val="20"/>
                <w:lang w:eastAsia="zh-Hans"/>
              </w:rPr>
              <w:t>持。</w:t>
            </w:r>
            <w:r>
              <w:rPr>
                <w:rFonts w:hint="eastAsia" w:ascii="宋体" w:hAnsi="宋体" w:eastAsia="宋体" w:cs="宋体"/>
                <w:sz w:val="20"/>
                <w:szCs w:val="20"/>
              </w:rPr>
              <w:t>生长迟滞的婴儿需经医生评估后，</w:t>
            </w:r>
            <w:r>
              <w:rPr>
                <w:rFonts w:hint="eastAsia" w:ascii="宋体" w:hAnsi="宋体" w:eastAsia="宋体" w:cs="宋体"/>
                <w:sz w:val="20"/>
                <w:szCs w:val="20"/>
                <w:lang w:val="en-US" w:eastAsia="zh-CN"/>
              </w:rPr>
              <w:t>改</w:t>
            </w:r>
            <w:r>
              <w:rPr>
                <w:rFonts w:hint="eastAsia" w:ascii="宋体" w:hAnsi="宋体" w:eastAsia="宋体" w:cs="宋体"/>
                <w:sz w:val="20"/>
                <w:szCs w:val="20"/>
              </w:rPr>
              <w:t>用特殊奶粉喂养，必要时使用鼻胃管临时补充喂养，鼻胃管的使用时间不应超过6-8周。</w:t>
            </w:r>
          </w:p>
        </w:tc>
        <w:tc>
          <w:tcPr>
            <w:tcW w:w="1276" w:type="dxa"/>
            <w:vMerge w:val="continue"/>
          </w:tcPr>
          <w:p w14:paraId="36C57DBA">
            <w:pPr>
              <w:widowControl/>
              <w:numPr>
                <w:ilvl w:val="255"/>
                <w:numId w:val="0"/>
              </w:numPr>
              <w:spacing w:line="400" w:lineRule="exact"/>
              <w:rPr>
                <w:rFonts w:ascii="宋体" w:hAnsi="宋体" w:eastAsia="宋体" w:cs="宋体"/>
                <w:sz w:val="20"/>
                <w:szCs w:val="20"/>
                <w:lang w:eastAsia="zh-Hans"/>
              </w:rPr>
            </w:pPr>
          </w:p>
        </w:tc>
      </w:tr>
      <w:tr w14:paraId="5FA21E15">
        <w:tc>
          <w:tcPr>
            <w:tcW w:w="912" w:type="dxa"/>
            <w:vMerge w:val="continue"/>
          </w:tcPr>
          <w:p w14:paraId="1223D0F2">
            <w:pPr>
              <w:widowControl/>
              <w:numPr>
                <w:ilvl w:val="255"/>
                <w:numId w:val="0"/>
              </w:numPr>
              <w:spacing w:line="400" w:lineRule="exact"/>
              <w:rPr>
                <w:rFonts w:ascii="宋体" w:hAnsi="宋体" w:eastAsia="宋体" w:cs="宋体"/>
                <w:sz w:val="20"/>
                <w:szCs w:val="20"/>
              </w:rPr>
            </w:pPr>
          </w:p>
        </w:tc>
        <w:tc>
          <w:tcPr>
            <w:tcW w:w="6284" w:type="dxa"/>
          </w:tcPr>
          <w:p w14:paraId="03138D17">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建议肠内喂养的患儿保持口腔吸吮和吞咽的能力，保证后期发育及社交饮食。</w:t>
            </w:r>
          </w:p>
        </w:tc>
        <w:tc>
          <w:tcPr>
            <w:tcW w:w="1276" w:type="dxa"/>
            <w:vMerge w:val="continue"/>
          </w:tcPr>
          <w:p w14:paraId="20184F2C">
            <w:pPr>
              <w:widowControl/>
              <w:numPr>
                <w:ilvl w:val="255"/>
                <w:numId w:val="0"/>
              </w:numPr>
              <w:spacing w:line="400" w:lineRule="exact"/>
              <w:rPr>
                <w:rFonts w:ascii="宋体" w:hAnsi="宋体" w:eastAsia="宋体" w:cs="宋体"/>
                <w:sz w:val="20"/>
                <w:szCs w:val="20"/>
              </w:rPr>
            </w:pPr>
          </w:p>
        </w:tc>
      </w:tr>
      <w:tr w14:paraId="5C5DBB13">
        <w:tc>
          <w:tcPr>
            <w:tcW w:w="912" w:type="dxa"/>
          </w:tcPr>
          <w:p w14:paraId="6968E6F7">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5.3贫血</w:t>
            </w:r>
          </w:p>
        </w:tc>
        <w:tc>
          <w:tcPr>
            <w:tcW w:w="6284" w:type="dxa"/>
          </w:tcPr>
          <w:p w14:paraId="78717BAD">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lang w:eastAsia="zh-Hans"/>
              </w:rPr>
              <w:t>EB</w:t>
            </w:r>
            <w:r>
              <w:rPr>
                <w:rFonts w:hint="eastAsia" w:ascii="宋体" w:hAnsi="宋体" w:eastAsia="宋体" w:cs="宋体"/>
                <w:sz w:val="20"/>
                <w:szCs w:val="20"/>
              </w:rPr>
              <w:t>患儿可通过含铁丰富的食物或遵医嘱使用口服铁剂进行补充，不耐受口服铁补充剂的患儿可遵医嘱采用胃肠外补铁，定期门诊随访。</w:t>
            </w:r>
          </w:p>
        </w:tc>
        <w:tc>
          <w:tcPr>
            <w:tcW w:w="1276" w:type="dxa"/>
            <w:vMerge w:val="continue"/>
          </w:tcPr>
          <w:p w14:paraId="34A295E8">
            <w:pPr>
              <w:widowControl/>
              <w:numPr>
                <w:ilvl w:val="255"/>
                <w:numId w:val="0"/>
              </w:numPr>
              <w:spacing w:line="400" w:lineRule="exact"/>
              <w:rPr>
                <w:rFonts w:ascii="宋体" w:hAnsi="宋体" w:eastAsia="宋体" w:cs="宋体"/>
                <w:sz w:val="20"/>
                <w:szCs w:val="20"/>
                <w:lang w:eastAsia="zh-Hans"/>
              </w:rPr>
            </w:pPr>
          </w:p>
        </w:tc>
      </w:tr>
      <w:tr w14:paraId="36356215">
        <w:tc>
          <w:tcPr>
            <w:tcW w:w="912" w:type="dxa"/>
            <w:tcBorders>
              <w:bottom w:val="single" w:color="auto" w:sz="12" w:space="0"/>
            </w:tcBorders>
          </w:tcPr>
          <w:p w14:paraId="12DEA0E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5.3喂养障碍</w:t>
            </w:r>
          </w:p>
        </w:tc>
        <w:tc>
          <w:tcPr>
            <w:tcW w:w="6284" w:type="dxa"/>
            <w:tcBorders>
              <w:bottom w:val="single" w:color="auto" w:sz="12" w:space="0"/>
            </w:tcBorders>
          </w:tcPr>
          <w:p w14:paraId="01D0291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在</w:t>
            </w:r>
            <w:r>
              <w:rPr>
                <w:rFonts w:ascii="宋体" w:hAnsi="宋体" w:eastAsia="宋体" w:cs="宋体"/>
                <w:sz w:val="20"/>
                <w:szCs w:val="20"/>
                <w:lang w:eastAsia="zh-Hans"/>
              </w:rPr>
              <w:t>RDEB</w:t>
            </w:r>
            <w:r>
              <w:rPr>
                <w:rFonts w:hint="eastAsia" w:ascii="宋体" w:hAnsi="宋体" w:eastAsia="宋体" w:cs="宋体"/>
                <w:sz w:val="20"/>
                <w:szCs w:val="20"/>
              </w:rPr>
              <w:t>、</w:t>
            </w:r>
            <w:r>
              <w:rPr>
                <w:rFonts w:ascii="宋体" w:hAnsi="宋体" w:eastAsia="宋体" w:cs="宋体"/>
                <w:sz w:val="20"/>
                <w:szCs w:val="20"/>
                <w:lang w:eastAsia="zh-Hans"/>
              </w:rPr>
              <w:t>JEB</w:t>
            </w:r>
            <w:r>
              <w:rPr>
                <w:rFonts w:hint="eastAsia" w:ascii="宋体" w:hAnsi="宋体" w:eastAsia="宋体" w:cs="宋体"/>
                <w:sz w:val="20"/>
                <w:szCs w:val="20"/>
              </w:rPr>
              <w:t>患儿中，常发生食管狭窄，注意观察患儿在吞咽时是否发生障碍，可表现为吐口水等，仍可以吞咽的患儿可将食物打碎或使用肠内营养粉等，吞咽严重困难</w:t>
            </w:r>
            <w:r>
              <w:rPr>
                <w:rFonts w:hint="eastAsia" w:ascii="宋体" w:hAnsi="宋体" w:eastAsia="宋体" w:cs="宋体"/>
                <w:sz w:val="20"/>
                <w:szCs w:val="20"/>
                <w:lang w:val="en-US" w:eastAsia="zh-CN"/>
              </w:rPr>
              <w:t>及时就医</w:t>
            </w:r>
            <w:r>
              <w:rPr>
                <w:rFonts w:hint="eastAsia" w:ascii="宋体" w:hAnsi="宋体" w:eastAsia="宋体" w:cs="宋体"/>
                <w:sz w:val="20"/>
                <w:szCs w:val="20"/>
              </w:rPr>
              <w:t>通过食管扩张术进行治疗。</w:t>
            </w:r>
          </w:p>
        </w:tc>
        <w:tc>
          <w:tcPr>
            <w:tcW w:w="1276" w:type="dxa"/>
            <w:vMerge w:val="continue"/>
            <w:tcBorders>
              <w:bottom w:val="single" w:color="auto" w:sz="12" w:space="0"/>
            </w:tcBorders>
          </w:tcPr>
          <w:p w14:paraId="29C64442">
            <w:pPr>
              <w:widowControl/>
              <w:numPr>
                <w:ilvl w:val="255"/>
                <w:numId w:val="0"/>
              </w:numPr>
              <w:spacing w:line="400" w:lineRule="exact"/>
              <w:rPr>
                <w:rFonts w:ascii="宋体" w:hAnsi="宋体" w:eastAsia="宋体" w:cs="宋体"/>
                <w:sz w:val="20"/>
                <w:szCs w:val="20"/>
              </w:rPr>
            </w:pPr>
          </w:p>
        </w:tc>
      </w:tr>
    </w:tbl>
    <w:p w14:paraId="3900A2C3">
      <w:pPr>
        <w:spacing w:line="400" w:lineRule="exact"/>
        <w:rPr>
          <w:rFonts w:ascii="Times New Roman Regular" w:hAnsi="Times New Roman Regular" w:cs="Times New Roman Regular"/>
          <w:b/>
          <w:bCs/>
        </w:rPr>
      </w:pPr>
      <w:r>
        <w:rPr>
          <w:rFonts w:hint="eastAsia" w:ascii="Times New Roman Regular" w:hAnsi="Times New Roman Regular" w:cs="Times New Roman Regular"/>
          <w:b/>
          <w:bCs/>
        </w:rPr>
        <w:t>6.心理护理</w:t>
      </w:r>
    </w:p>
    <w:p w14:paraId="6870D23A">
      <w:pPr>
        <w:ind w:firstLine="480" w:firstLineChars="200"/>
      </w:pPr>
      <w:r>
        <w:rPr>
          <w:rFonts w:hint="eastAsia" w:ascii="宋体" w:hAnsi="宋体" w:eastAsia="宋体" w:cs="宋体"/>
          <w:b/>
          <w:bCs/>
        </w:rPr>
        <w:t>能力目标：</w:t>
      </w:r>
      <w:r>
        <w:rPr>
          <w:rFonts w:hint="eastAsia" w:ascii="宋体" w:hAnsi="宋体" w:eastAsia="宋体" w:cs="宋体"/>
        </w:rPr>
        <w:t>照护者能够识别并理解在长期照护过程中可能面临的心理困扰，掌握基本的心理安慰和支持方法，学会利用沟通、情绪管理及社会支持资源缓解压力，增强照护信心与持续性，从而改善患儿和家庭整体的心理健康与生活质量。</w:t>
      </w:r>
    </w:p>
    <w:tbl>
      <w:tblPr>
        <w:tblStyle w:val="3"/>
        <w:tblW w:w="84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6"/>
        <w:gridCol w:w="6218"/>
        <w:gridCol w:w="1418"/>
      </w:tblGrid>
      <w:tr w14:paraId="6CB6917F">
        <w:tc>
          <w:tcPr>
            <w:tcW w:w="836" w:type="dxa"/>
            <w:tcBorders>
              <w:top w:val="single" w:color="auto" w:sz="12" w:space="0"/>
            </w:tcBorders>
          </w:tcPr>
          <w:p w14:paraId="4B3DEE89">
            <w:pPr>
              <w:widowControl/>
              <w:numPr>
                <w:ilvl w:val="255"/>
                <w:numId w:val="0"/>
              </w:numPr>
              <w:spacing w:line="400" w:lineRule="exact"/>
              <w:rPr>
                <w:rFonts w:ascii="宋体" w:hAnsi="宋体" w:eastAsia="宋体" w:cs="宋体"/>
                <w:sz w:val="20"/>
                <w:szCs w:val="20"/>
              </w:rPr>
            </w:pPr>
            <w:bookmarkStart w:id="0" w:name="_Hlk211006614"/>
            <w:r>
              <w:rPr>
                <w:rFonts w:hint="eastAsia" w:ascii="宋体" w:hAnsi="宋体" w:eastAsia="宋体" w:cs="宋体"/>
                <w:b/>
                <w:bCs/>
                <w:sz w:val="21"/>
                <w:szCs w:val="21"/>
              </w:rPr>
              <w:t>类别</w:t>
            </w:r>
          </w:p>
        </w:tc>
        <w:tc>
          <w:tcPr>
            <w:tcW w:w="6218" w:type="dxa"/>
            <w:tcBorders>
              <w:top w:val="single" w:color="auto" w:sz="12" w:space="0"/>
            </w:tcBorders>
          </w:tcPr>
          <w:p w14:paraId="21F4D417">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具体干预方案内容</w:t>
            </w:r>
          </w:p>
        </w:tc>
        <w:tc>
          <w:tcPr>
            <w:tcW w:w="1418" w:type="dxa"/>
            <w:tcBorders>
              <w:top w:val="single" w:color="auto" w:sz="12" w:space="0"/>
            </w:tcBorders>
          </w:tcPr>
          <w:p w14:paraId="4879336C">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干预形式</w:t>
            </w:r>
          </w:p>
        </w:tc>
      </w:tr>
      <w:bookmarkEnd w:id="0"/>
      <w:tr w14:paraId="36FA9218">
        <w:tc>
          <w:tcPr>
            <w:tcW w:w="836" w:type="dxa"/>
            <w:vMerge w:val="restart"/>
          </w:tcPr>
          <w:p w14:paraId="32F8981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6.1患儿心理护理</w:t>
            </w:r>
          </w:p>
        </w:tc>
        <w:tc>
          <w:tcPr>
            <w:tcW w:w="6218" w:type="dxa"/>
          </w:tcPr>
          <w:p w14:paraId="05F08EC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照护者应关注患儿的心理感受：可使用“讲故事”、玩偶扮演等方式，鼓励患儿表达对疼痛、换药和社交的感受与想法。用他们能理解的语言解释治疗过程。</w:t>
            </w:r>
          </w:p>
        </w:tc>
        <w:tc>
          <w:tcPr>
            <w:tcW w:w="1418" w:type="dxa"/>
            <w:vMerge w:val="restart"/>
          </w:tcPr>
          <w:p w14:paraId="78A2B7B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讲座</w:t>
            </w:r>
          </w:p>
          <w:p w14:paraId="156DF91D">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患儿大会</w:t>
            </w:r>
          </w:p>
        </w:tc>
      </w:tr>
      <w:tr w14:paraId="1DDFA748">
        <w:tc>
          <w:tcPr>
            <w:tcW w:w="836" w:type="dxa"/>
            <w:vMerge w:val="continue"/>
          </w:tcPr>
          <w:p w14:paraId="45C38446">
            <w:pPr>
              <w:widowControl/>
              <w:numPr>
                <w:ilvl w:val="255"/>
                <w:numId w:val="0"/>
              </w:numPr>
              <w:spacing w:line="400" w:lineRule="exact"/>
              <w:rPr>
                <w:rFonts w:ascii="宋体" w:hAnsi="宋体" w:eastAsia="宋体" w:cs="宋体"/>
                <w:sz w:val="20"/>
                <w:szCs w:val="20"/>
              </w:rPr>
            </w:pPr>
          </w:p>
        </w:tc>
        <w:tc>
          <w:tcPr>
            <w:tcW w:w="6218" w:type="dxa"/>
          </w:tcPr>
          <w:p w14:paraId="78B65E4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采用适合其年龄段的绘画、游戏评估患儿的情绪状态（焦虑、恐惧、抑郁），识别风险。</w:t>
            </w:r>
          </w:p>
        </w:tc>
        <w:tc>
          <w:tcPr>
            <w:tcW w:w="1418" w:type="dxa"/>
            <w:vMerge w:val="continue"/>
          </w:tcPr>
          <w:p w14:paraId="074C86E5">
            <w:pPr>
              <w:widowControl/>
              <w:numPr>
                <w:ilvl w:val="255"/>
                <w:numId w:val="0"/>
              </w:numPr>
              <w:spacing w:line="400" w:lineRule="exact"/>
              <w:rPr>
                <w:rFonts w:ascii="宋体" w:hAnsi="宋体" w:eastAsia="宋体" w:cs="宋体"/>
                <w:sz w:val="20"/>
                <w:szCs w:val="20"/>
              </w:rPr>
            </w:pPr>
          </w:p>
        </w:tc>
      </w:tr>
    </w:tbl>
    <w:p w14:paraId="0521A0F0">
      <w:pPr>
        <w:spacing w:line="400" w:lineRule="exact"/>
        <w:rPr>
          <w:rFonts w:ascii="Times New Roman Regular" w:hAnsi="Times New Roman Regular" w:cs="Times New Roman Regular"/>
          <w:b/>
          <w:bCs/>
        </w:rPr>
      </w:pPr>
      <w:r>
        <w:rPr>
          <w:rFonts w:hint="eastAsia" w:ascii="Times New Roman Regular" w:hAnsi="Times New Roman Regular" w:cs="Times New Roman Regular"/>
          <w:b/>
          <w:bCs/>
        </w:rPr>
        <w:t>7.健康教育</w:t>
      </w:r>
    </w:p>
    <w:p w14:paraId="7627C27E">
      <w:pPr>
        <w:spacing w:line="400" w:lineRule="exact"/>
        <w:ind w:firstLine="480" w:firstLineChars="200"/>
        <w:rPr>
          <w:rFonts w:ascii="宋体" w:hAnsi="宋体" w:eastAsia="宋体" w:cs="宋体"/>
        </w:rPr>
      </w:pPr>
      <w:r>
        <w:rPr>
          <w:rFonts w:hint="eastAsia" w:ascii="宋体" w:hAnsi="宋体" w:eastAsia="宋体" w:cs="宋体"/>
          <w:b/>
          <w:bCs/>
        </w:rPr>
        <w:t>能力目标：</w:t>
      </w:r>
      <w:r>
        <w:rPr>
          <w:rFonts w:hint="eastAsia" w:ascii="宋体" w:hAnsi="宋体" w:eastAsia="宋体" w:cs="宋体"/>
        </w:rPr>
        <w:t>照护者能够通过系统化的健康教育，掌握随访频次及随访内容，提升信息获取与自我管理能力，逐步实现由依赖医务人员向自我照护的转变，从而持续提升家庭照护的科学性和规范性。</w:t>
      </w:r>
    </w:p>
    <w:tbl>
      <w:tblPr>
        <w:tblStyle w:val="3"/>
        <w:tblW w:w="84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0"/>
        <w:gridCol w:w="6104"/>
        <w:gridCol w:w="1418"/>
      </w:tblGrid>
      <w:tr w14:paraId="4F68C007">
        <w:tc>
          <w:tcPr>
            <w:tcW w:w="950" w:type="dxa"/>
            <w:tcBorders>
              <w:top w:val="single" w:color="auto" w:sz="12" w:space="0"/>
              <w:bottom w:val="single" w:color="auto" w:sz="6" w:space="0"/>
            </w:tcBorders>
          </w:tcPr>
          <w:p w14:paraId="6E5D5B86">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类别</w:t>
            </w:r>
          </w:p>
        </w:tc>
        <w:tc>
          <w:tcPr>
            <w:tcW w:w="6104" w:type="dxa"/>
            <w:tcBorders>
              <w:top w:val="single" w:color="auto" w:sz="12" w:space="0"/>
              <w:bottom w:val="single" w:color="auto" w:sz="6" w:space="0"/>
            </w:tcBorders>
          </w:tcPr>
          <w:p w14:paraId="0E8D1859">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具体干预方案内容</w:t>
            </w:r>
          </w:p>
        </w:tc>
        <w:tc>
          <w:tcPr>
            <w:tcW w:w="1418" w:type="dxa"/>
            <w:tcBorders>
              <w:top w:val="single" w:color="auto" w:sz="12" w:space="0"/>
              <w:bottom w:val="single" w:color="auto" w:sz="6" w:space="0"/>
            </w:tcBorders>
          </w:tcPr>
          <w:p w14:paraId="55EBBAC3">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干预形式</w:t>
            </w:r>
          </w:p>
        </w:tc>
      </w:tr>
      <w:tr w14:paraId="11F56328">
        <w:tc>
          <w:tcPr>
            <w:tcW w:w="950" w:type="dxa"/>
            <w:vMerge w:val="restart"/>
            <w:tcBorders>
              <w:top w:val="single" w:color="auto" w:sz="6" w:space="0"/>
            </w:tcBorders>
          </w:tcPr>
          <w:p w14:paraId="009BA9A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7.1随访频次</w:t>
            </w:r>
          </w:p>
        </w:tc>
        <w:tc>
          <w:tcPr>
            <w:tcW w:w="6104" w:type="dxa"/>
            <w:tcBorders>
              <w:top w:val="single" w:color="auto" w:sz="6" w:space="0"/>
            </w:tcBorders>
          </w:tcPr>
          <w:p w14:paraId="6EC9499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照护者应能配合完成定期随访：</w:t>
            </w:r>
            <w:r>
              <w:rPr>
                <w:rFonts w:hint="eastAsia" w:ascii="宋体" w:hAnsi="宋体" w:eastAsia="宋体" w:cs="宋体"/>
                <w:sz w:val="20"/>
                <w:szCs w:val="20"/>
                <w:lang w:eastAsia="zh-Hans"/>
              </w:rPr>
              <w:t>对于轻度  EB  亚型，如局部EBS或轻度显性遗传DEB，婴儿期随访</w:t>
            </w:r>
            <w:r>
              <w:rPr>
                <w:rFonts w:hint="eastAsia" w:ascii="宋体" w:hAnsi="宋体" w:eastAsia="宋体" w:cs="宋体"/>
                <w:sz w:val="20"/>
                <w:szCs w:val="20"/>
              </w:rPr>
              <w:t>宜</w:t>
            </w:r>
            <w:r>
              <w:rPr>
                <w:rFonts w:hint="eastAsia" w:ascii="宋体" w:hAnsi="宋体" w:eastAsia="宋体" w:cs="宋体"/>
                <w:sz w:val="20"/>
                <w:szCs w:val="20"/>
                <w:lang w:eastAsia="zh-Hans"/>
              </w:rPr>
              <w:t>为每 3‑6 个月一次；儿童期后</w:t>
            </w:r>
            <w:r>
              <w:rPr>
                <w:rFonts w:hint="eastAsia" w:ascii="宋体" w:hAnsi="宋体" w:eastAsia="宋体" w:cs="宋体"/>
                <w:sz w:val="20"/>
                <w:szCs w:val="20"/>
              </w:rPr>
              <w:t>宜</w:t>
            </w:r>
            <w:r>
              <w:rPr>
                <w:rFonts w:hint="eastAsia" w:ascii="宋体" w:hAnsi="宋体" w:eastAsia="宋体" w:cs="宋体"/>
                <w:sz w:val="20"/>
                <w:szCs w:val="20"/>
                <w:lang w:eastAsia="zh-Hans"/>
              </w:rPr>
              <w:t>每年进行一次随访。</w:t>
            </w:r>
          </w:p>
        </w:tc>
        <w:tc>
          <w:tcPr>
            <w:tcW w:w="1418" w:type="dxa"/>
            <w:tcBorders>
              <w:top w:val="single" w:color="auto" w:sz="6" w:space="0"/>
            </w:tcBorders>
          </w:tcPr>
          <w:p w14:paraId="3B18BD0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讲座</w:t>
            </w:r>
          </w:p>
          <w:p w14:paraId="3F17DFE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线下指导</w:t>
            </w:r>
          </w:p>
        </w:tc>
      </w:tr>
      <w:tr w14:paraId="4F7893D9">
        <w:tc>
          <w:tcPr>
            <w:tcW w:w="950" w:type="dxa"/>
            <w:vMerge w:val="continue"/>
          </w:tcPr>
          <w:p w14:paraId="0DE9BEE4">
            <w:pPr>
              <w:widowControl/>
              <w:numPr>
                <w:ilvl w:val="255"/>
                <w:numId w:val="0"/>
              </w:numPr>
              <w:spacing w:line="400" w:lineRule="exact"/>
              <w:rPr>
                <w:rFonts w:ascii="宋体" w:hAnsi="宋体" w:eastAsia="宋体" w:cs="宋体"/>
                <w:sz w:val="20"/>
                <w:szCs w:val="20"/>
              </w:rPr>
            </w:pPr>
          </w:p>
        </w:tc>
        <w:tc>
          <w:tcPr>
            <w:tcW w:w="6104" w:type="dxa"/>
          </w:tcPr>
          <w:p w14:paraId="5B4CDDA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lang w:eastAsia="zh-Hans"/>
              </w:rPr>
              <w:t>重型EB患儿</w:t>
            </w:r>
            <w:r>
              <w:rPr>
                <w:rFonts w:hint="eastAsia" w:ascii="宋体" w:hAnsi="宋体" w:eastAsia="宋体" w:cs="宋体"/>
                <w:sz w:val="20"/>
                <w:szCs w:val="20"/>
              </w:rPr>
              <w:t>宜</w:t>
            </w:r>
            <w:r>
              <w:rPr>
                <w:rFonts w:hint="eastAsia" w:ascii="宋体" w:hAnsi="宋体" w:eastAsia="宋体" w:cs="宋体"/>
                <w:sz w:val="20"/>
                <w:szCs w:val="20"/>
                <w:lang w:eastAsia="zh-Hans"/>
              </w:rPr>
              <w:t>每3-6个月就诊1次，如重度、泛发性隐性遗传DEB或JEB，婴儿期</w:t>
            </w:r>
            <w:r>
              <w:rPr>
                <w:rFonts w:hint="eastAsia" w:ascii="宋体" w:hAnsi="宋体" w:eastAsia="宋体" w:cs="宋体"/>
                <w:sz w:val="20"/>
                <w:szCs w:val="20"/>
              </w:rPr>
              <w:t>宜</w:t>
            </w:r>
            <w:r>
              <w:rPr>
                <w:rFonts w:hint="eastAsia" w:ascii="宋体" w:hAnsi="宋体" w:eastAsia="宋体" w:cs="宋体"/>
                <w:sz w:val="20"/>
                <w:szCs w:val="20"/>
                <w:lang w:eastAsia="zh-Hans"/>
              </w:rPr>
              <w:t>每三个月一次；儿童期后</w:t>
            </w:r>
            <w:r>
              <w:rPr>
                <w:rFonts w:hint="eastAsia" w:ascii="宋体" w:hAnsi="宋体" w:eastAsia="宋体" w:cs="宋体"/>
                <w:sz w:val="20"/>
                <w:szCs w:val="20"/>
              </w:rPr>
              <w:t>应至少</w:t>
            </w:r>
            <w:r>
              <w:rPr>
                <w:rFonts w:hint="eastAsia" w:ascii="宋体" w:hAnsi="宋体" w:eastAsia="宋体" w:cs="宋体"/>
                <w:sz w:val="20"/>
                <w:szCs w:val="20"/>
                <w:lang w:eastAsia="zh-Hans"/>
              </w:rPr>
              <w:t>每年两次随访，16岁后</w:t>
            </w:r>
            <w:r>
              <w:rPr>
                <w:rFonts w:hint="eastAsia" w:ascii="宋体" w:hAnsi="宋体" w:eastAsia="宋体" w:cs="宋体"/>
                <w:sz w:val="20"/>
                <w:szCs w:val="20"/>
              </w:rPr>
              <w:t>宜</w:t>
            </w:r>
            <w:r>
              <w:rPr>
                <w:rFonts w:hint="eastAsia" w:ascii="宋体" w:hAnsi="宋体" w:eastAsia="宋体" w:cs="宋体"/>
                <w:sz w:val="20"/>
                <w:szCs w:val="20"/>
                <w:lang w:eastAsia="zh-Hans"/>
              </w:rPr>
              <w:t>每3个月进行一次随访，警惕鳞状细胞癌。</w:t>
            </w:r>
          </w:p>
        </w:tc>
        <w:tc>
          <w:tcPr>
            <w:tcW w:w="1418" w:type="dxa"/>
          </w:tcPr>
          <w:p w14:paraId="2EDF8185">
            <w:pPr>
              <w:widowControl/>
              <w:numPr>
                <w:ilvl w:val="255"/>
                <w:numId w:val="0"/>
              </w:numPr>
              <w:spacing w:line="400" w:lineRule="exact"/>
              <w:rPr>
                <w:rFonts w:ascii="宋体" w:hAnsi="宋体" w:eastAsia="宋体" w:cs="宋体"/>
                <w:sz w:val="20"/>
                <w:szCs w:val="20"/>
                <w:lang w:eastAsia="zh-Hans"/>
              </w:rPr>
            </w:pPr>
          </w:p>
        </w:tc>
      </w:tr>
      <w:tr w14:paraId="0A23E61F">
        <w:tc>
          <w:tcPr>
            <w:tcW w:w="950" w:type="dxa"/>
            <w:vMerge w:val="restart"/>
          </w:tcPr>
          <w:p w14:paraId="5FCCBF1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7.2随访内容</w:t>
            </w:r>
          </w:p>
        </w:tc>
        <w:tc>
          <w:tcPr>
            <w:tcW w:w="6104" w:type="dxa"/>
          </w:tcPr>
          <w:p w14:paraId="4CCB348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照护者应在随访过程中如实反馈患儿情况，包括：患儿全身伤口皮肤情况（部位、大小、数量及愈合情况等）、敷料使用情况（根据伤口状况调整敷料的使用）、伤口包扎是否合理、伤口护理方式是否正确。</w:t>
            </w:r>
          </w:p>
        </w:tc>
        <w:tc>
          <w:tcPr>
            <w:tcW w:w="1418" w:type="dxa"/>
          </w:tcPr>
          <w:p w14:paraId="2AAB568B">
            <w:pPr>
              <w:widowControl/>
              <w:numPr>
                <w:ilvl w:val="255"/>
                <w:numId w:val="0"/>
              </w:numPr>
              <w:spacing w:line="400" w:lineRule="exact"/>
              <w:rPr>
                <w:rFonts w:ascii="宋体" w:hAnsi="宋体" w:eastAsia="宋体" w:cs="宋体"/>
                <w:sz w:val="20"/>
                <w:szCs w:val="20"/>
              </w:rPr>
            </w:pPr>
          </w:p>
          <w:p w14:paraId="286B94AE">
            <w:pPr>
              <w:widowControl/>
              <w:numPr>
                <w:ilvl w:val="255"/>
                <w:numId w:val="0"/>
              </w:numPr>
              <w:spacing w:line="400" w:lineRule="exact"/>
              <w:rPr>
                <w:rFonts w:ascii="宋体" w:hAnsi="宋体" w:eastAsia="宋体" w:cs="宋体"/>
                <w:sz w:val="20"/>
                <w:szCs w:val="20"/>
              </w:rPr>
            </w:pPr>
          </w:p>
          <w:p w14:paraId="6414E115">
            <w:pPr>
              <w:widowControl/>
              <w:numPr>
                <w:ilvl w:val="255"/>
                <w:numId w:val="0"/>
              </w:numPr>
              <w:spacing w:line="400" w:lineRule="exact"/>
              <w:rPr>
                <w:rFonts w:ascii="宋体" w:hAnsi="宋体" w:eastAsia="宋体" w:cs="宋体"/>
                <w:sz w:val="20"/>
                <w:szCs w:val="20"/>
              </w:rPr>
            </w:pPr>
          </w:p>
          <w:p w14:paraId="6692CDCB">
            <w:pPr>
              <w:widowControl/>
              <w:numPr>
                <w:ilvl w:val="255"/>
                <w:numId w:val="0"/>
              </w:numPr>
              <w:spacing w:line="400" w:lineRule="exact"/>
              <w:rPr>
                <w:rFonts w:hint="eastAsia" w:ascii="宋体" w:hAnsi="宋体" w:eastAsia="宋体" w:cs="宋体"/>
                <w:sz w:val="20"/>
                <w:szCs w:val="20"/>
                <w:lang w:eastAsia="zh-CN"/>
              </w:rPr>
            </w:pPr>
          </w:p>
        </w:tc>
      </w:tr>
      <w:tr w14:paraId="7B590747">
        <w:tc>
          <w:tcPr>
            <w:tcW w:w="950" w:type="dxa"/>
            <w:vMerge w:val="continue"/>
            <w:tcBorders>
              <w:bottom w:val="single" w:color="auto" w:sz="12" w:space="0"/>
            </w:tcBorders>
          </w:tcPr>
          <w:p w14:paraId="1E3FDBA7">
            <w:pPr>
              <w:widowControl/>
              <w:numPr>
                <w:ilvl w:val="255"/>
                <w:numId w:val="0"/>
              </w:numPr>
              <w:spacing w:line="400" w:lineRule="exact"/>
              <w:rPr>
                <w:rFonts w:ascii="宋体" w:hAnsi="宋体" w:eastAsia="宋体" w:cs="宋体"/>
                <w:sz w:val="20"/>
                <w:szCs w:val="20"/>
              </w:rPr>
            </w:pPr>
          </w:p>
        </w:tc>
        <w:tc>
          <w:tcPr>
            <w:tcW w:w="6104" w:type="dxa"/>
            <w:tcBorders>
              <w:bottom w:val="single" w:color="auto" w:sz="12" w:space="0"/>
            </w:tcBorders>
          </w:tcPr>
          <w:p w14:paraId="12DA457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患儿换药时的疼痛程、关节活动度、营养状况及心理压力等。</w:t>
            </w:r>
          </w:p>
        </w:tc>
        <w:tc>
          <w:tcPr>
            <w:tcW w:w="1418" w:type="dxa"/>
            <w:tcBorders>
              <w:bottom w:val="single" w:color="auto" w:sz="12" w:space="0"/>
            </w:tcBorders>
          </w:tcPr>
          <w:p w14:paraId="5AA80873">
            <w:pPr>
              <w:widowControl/>
              <w:numPr>
                <w:ilvl w:val="255"/>
                <w:numId w:val="0"/>
              </w:numPr>
              <w:spacing w:line="400" w:lineRule="exact"/>
              <w:rPr>
                <w:rFonts w:ascii="宋体" w:hAnsi="宋体" w:eastAsia="宋体" w:cs="宋体"/>
                <w:sz w:val="20"/>
                <w:szCs w:val="20"/>
              </w:rPr>
            </w:pPr>
          </w:p>
        </w:tc>
      </w:tr>
    </w:tbl>
    <w:p w14:paraId="3A18DF2F">
      <w:pPr>
        <w:spacing w:line="400" w:lineRule="exact"/>
        <w:jc w:val="center"/>
        <w:rPr>
          <w:rFonts w:ascii="Times New Roman Regular" w:hAnsi="Times New Roman Regular" w:eastAsia="宋体" w:cs="Times New Roman Regular"/>
          <w:b/>
          <w:bCs/>
          <w:sz w:val="28"/>
          <w:szCs w:val="28"/>
        </w:rPr>
      </w:pPr>
    </w:p>
    <w:p w14:paraId="5B9AACB7">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B4F33C"/>
    <w:rsid w:val="57B4F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2025-10-28T12:07:00Z</dcterms:created>
  <dc:creator>零</dc:creator>
  <cp:lastModifiedBy>零</cp:lastModifiedBy>
  <dcterms:modified xsi:type="dcterms:W3CDTF">2025-10-28T12:07:53Z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BDBCDBCDC39C9B417E41006908E20387_41</vt:lpwstr>
  </property>
</Properties>
</file>