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5E43A">
      <w:pPr>
        <w:rPr>
          <w:rFonts w:hint="eastAsia"/>
          <w:lang w:val="en-US" w:eastAsia="zh-CN"/>
        </w:rPr>
      </w:pPr>
      <w:r>
        <w:rPr>
          <w:rFonts w:hint="eastAsia"/>
          <w:lang w:val="en-US" w:eastAsia="zh-CN"/>
        </w:rPr>
        <w:t>论文第四部分</w:t>
      </w:r>
    </w:p>
    <w:p w14:paraId="5E140603">
      <w:pPr>
        <w:rPr>
          <w:rFonts w:hint="default"/>
          <w:lang w:val="en-US" w:eastAsia="zh-CN"/>
        </w:rPr>
      </w:pPr>
      <w:r>
        <w:rPr>
          <w:rFonts w:hint="default"/>
          <w:lang w:val="en-US" w:eastAsia="zh-CN"/>
        </w:rPr>
        <w:t>基于时机理论的家庭肠内管饲患儿照顾者照护能力提升方案的构建及应用研究</w:t>
      </w:r>
    </w:p>
    <w:p w14:paraId="6451D56B">
      <w:pPr>
        <w:rPr>
          <w:rFonts w:hint="eastAsia"/>
          <w:lang w:val="en-US" w:eastAsia="zh-CN"/>
        </w:rPr>
      </w:pPr>
      <w:r>
        <w:rPr>
          <w:rFonts w:hint="eastAsia"/>
          <w:lang w:val="en-US" w:eastAsia="zh-CN"/>
        </w:rPr>
        <w:t>（时机理论的每个 阶段都包含对照顾者的“信息”“情感”、“工具”、“评价”四个方面需求）</w:t>
      </w:r>
    </w:p>
    <w:p w14:paraId="1BF1E2E8">
      <w:pPr>
        <w:rPr>
          <w:rFonts w:hint="default"/>
          <w:lang w:val="en-US" w:eastAsia="zh-CN"/>
        </w:rPr>
      </w:pPr>
      <w:r>
        <w:rPr>
          <w:rFonts w:hint="default"/>
          <w:lang w:val="en-US" w:eastAsia="zh-CN"/>
        </w:rPr>
        <w:drawing>
          <wp:inline distT="0" distB="0" distL="114300" distR="114300">
            <wp:extent cx="5269865" cy="5927090"/>
            <wp:effectExtent l="0" t="0" r="13335" b="16510"/>
            <wp:docPr id="1" name="图片 1" descr="截屏2025-09-18 08.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5-09-18 08.49.48"/>
                    <pic:cNvPicPr>
                      <a:picLocks noChangeAspect="1"/>
                    </pic:cNvPicPr>
                  </pic:nvPicPr>
                  <pic:blipFill>
                    <a:blip r:embed="rId4"/>
                    <a:stretch>
                      <a:fillRect/>
                    </a:stretch>
                  </pic:blipFill>
                  <pic:spPr>
                    <a:xfrm>
                      <a:off x="0" y="0"/>
                      <a:ext cx="5269865" cy="5927090"/>
                    </a:xfrm>
                    <a:prstGeom prst="rect">
                      <a:avLst/>
                    </a:prstGeom>
                  </pic:spPr>
                </pic:pic>
              </a:graphicData>
            </a:graphic>
          </wp:inline>
        </w:drawing>
      </w:r>
    </w:p>
    <w:p w14:paraId="2AFA5127">
      <w:pPr>
        <w:pStyle w:val="7"/>
        <w:keepNext w:val="0"/>
        <w:keepLines w:val="0"/>
        <w:widowControl/>
        <w:suppressLineNumbers w:val="0"/>
      </w:pPr>
      <w:r>
        <w:t>.1 研究对象</w:t>
      </w:r>
    </w:p>
    <w:p w14:paraId="04FF7272">
      <w:pPr>
        <w:pStyle w:val="7"/>
        <w:keepNext w:val="0"/>
        <w:keepLines w:val="0"/>
        <w:widowControl/>
        <w:suppressLineNumbers w:val="0"/>
      </w:pPr>
      <w:r>
        <w:t>3.1.1总体：家庭肠内管饲患儿的主要照顾者。</w:t>
      </w:r>
    </w:p>
    <w:p w14:paraId="749244D7">
      <w:pPr>
        <w:pStyle w:val="7"/>
        <w:keepNext w:val="0"/>
        <w:keepLines w:val="0"/>
        <w:widowControl/>
        <w:suppressLineNumbers w:val="0"/>
      </w:pPr>
      <w:r>
        <w:t>3.1.2样本：2022.3.1-2023.2.28期间两个阶段的家庭肠内管饲患儿主要照顾者。</w:t>
      </w:r>
    </w:p>
    <w:p w14:paraId="784EDFA4">
      <w:pPr>
        <w:pStyle w:val="7"/>
        <w:keepNext w:val="0"/>
        <w:keepLines w:val="0"/>
        <w:widowControl/>
        <w:suppressLineNumbers w:val="0"/>
      </w:pPr>
      <w:r>
        <w:t>2022.3.1-2022.8.31 纳人的照顾者次对照组，2022.9.1-2023.2.28纳入的照顾者为干预组。</w:t>
      </w:r>
    </w:p>
    <w:p w14:paraId="64621EC7">
      <w:pPr>
        <w:keepNext w:val="0"/>
        <w:keepLines w:val="0"/>
        <w:widowControl/>
        <w:numPr>
          <w:ilvl w:val="0"/>
          <w:numId w:val="0"/>
        </w:numPr>
        <w:suppressLineNumbers w:val="0"/>
        <w:spacing w:before="0" w:beforeAutospacing="0" w:after="0" w:afterAutospacing="0"/>
        <w:ind w:right="0" w:rightChars="0"/>
        <w:rPr>
          <w:rFonts w:hint="default" w:ascii="helvetica" w:hAnsi="helvetica" w:eastAsia="helvetica" w:cs="helvetica"/>
          <w:sz w:val="24"/>
          <w:szCs w:val="24"/>
        </w:rPr>
      </w:pPr>
      <w:r>
        <w:rPr>
          <w:rFonts w:hint="default" w:ascii="helvetica" w:hAnsi="helvetica" w:eastAsia="helvetica" w:cs="helvetica"/>
          <w:sz w:val="24"/>
          <w:szCs w:val="24"/>
        </w:rPr>
        <w:t>3.1.3抽样方法：连续纳入所有符合纳排标准的样本。</w:t>
      </w:r>
    </w:p>
    <w:p w14:paraId="7C62D6DD">
      <w:pPr>
        <w:keepNext w:val="0"/>
        <w:keepLines w:val="0"/>
        <w:widowControl/>
        <w:numPr>
          <w:ilvl w:val="0"/>
          <w:numId w:val="0"/>
        </w:numPr>
        <w:suppressLineNumbers w:val="0"/>
        <w:spacing w:before="0" w:beforeAutospacing="0" w:after="0" w:afterAutospacing="0"/>
        <w:ind w:right="0" w:rightChars="0"/>
        <w:rPr>
          <w:rFonts w:hint="default" w:ascii="helvetica" w:hAnsi="helvetica" w:eastAsia="helvetica" w:cs="helvetica"/>
          <w:sz w:val="24"/>
          <w:szCs w:val="24"/>
        </w:rPr>
      </w:pPr>
      <w:r>
        <w:rPr>
          <w:rFonts w:hint="default" w:ascii="helvetica" w:hAnsi="helvetica" w:eastAsia="helvetica" w:cs="helvetica"/>
          <w:sz w:val="24"/>
          <w:szCs w:val="24"/>
        </w:rPr>
        <w:t>根据预实验，干预组照护能力评分（出院后1月FCTI-入组时FCTI）差值为13.21.1，对照组照护能力评分差值11.21.1，优效界值1.0，两组实际差值为2.0，单侧检验a为0.025，B=0.10，输入PASS15软件（NCSS,Kaysville,Utah，USA) Superiority by a Margin Tests for the Difference Between Two Means 4'nl nf得至少需要入组27例，考虑20%的脱落率，最终每组样本量定为34例，总计</w:t>
      </w:r>
    </w:p>
    <w:p w14:paraId="7725A730">
      <w:pPr>
        <w:keepNext w:val="0"/>
        <w:keepLines w:val="0"/>
        <w:widowControl/>
        <w:numPr>
          <w:ilvl w:val="0"/>
          <w:numId w:val="0"/>
        </w:numPr>
        <w:suppressLineNumbers w:val="0"/>
        <w:spacing w:before="0" w:beforeAutospacing="0" w:after="0" w:afterAutospacing="0"/>
        <w:ind w:right="0" w:rightChars="0"/>
        <w:rPr>
          <w:rFonts w:hint="default" w:ascii="helvetica" w:hAnsi="helvetica" w:eastAsia="helvetica" w:cs="helvetica"/>
          <w:sz w:val="24"/>
          <w:szCs w:val="24"/>
        </w:rPr>
      </w:pPr>
      <w:r>
        <w:rPr>
          <w:rFonts w:hint="default" w:ascii="helvetica" w:hAnsi="helvetica" w:eastAsia="helvetica" w:cs="helvetica"/>
          <w:sz w:val="24"/>
          <w:szCs w:val="24"/>
        </w:rPr>
        <w:t>68例。</w:t>
      </w:r>
    </w:p>
    <w:p w14:paraId="52686088">
      <w:pPr>
        <w:keepNext w:val="0"/>
        <w:keepLines w:val="0"/>
        <w:widowControl/>
        <w:numPr>
          <w:ilvl w:val="0"/>
          <w:numId w:val="0"/>
        </w:numPr>
        <w:suppressLineNumbers w:val="0"/>
        <w:spacing w:before="0" w:beforeAutospacing="0" w:after="0" w:afterAutospacing="0"/>
        <w:ind w:right="0" w:rightChars="0"/>
        <w:rPr>
          <w:rFonts w:hint="eastAsia" w:ascii="helvetica" w:hAnsi="helvetica" w:eastAsia="宋体" w:cs="helvetica"/>
          <w:sz w:val="24"/>
          <w:szCs w:val="24"/>
          <w:lang w:val="en-US" w:eastAsia="zh-CN"/>
        </w:rPr>
      </w:pPr>
      <w:r>
        <w:rPr>
          <w:rFonts w:hint="eastAsia" w:ascii="helvetica" w:hAnsi="helvetica" w:eastAsia="宋体" w:cs="helvetica"/>
          <w:sz w:val="24"/>
          <w:szCs w:val="24"/>
          <w:lang w:val="en-US" w:eastAsia="zh-CN"/>
        </w:rPr>
        <w:t>研究工具：家庭照顾者照护能力测量量表（FCTI）体格测量工具 儿童肠内营养管饲数据平台</w:t>
      </w:r>
    </w:p>
    <w:p w14:paraId="2F0B47DB">
      <w:pPr>
        <w:keepNext w:val="0"/>
        <w:keepLines w:val="0"/>
        <w:widowControl/>
        <w:numPr>
          <w:ilvl w:val="0"/>
          <w:numId w:val="0"/>
        </w:numPr>
        <w:suppressLineNumbers w:val="0"/>
        <w:spacing w:before="0" w:beforeAutospacing="0" w:after="0" w:afterAutospacing="0"/>
        <w:ind w:right="0" w:rightChars="0"/>
        <w:rPr>
          <w:rFonts w:hint="eastAsia" w:ascii="helvetica" w:hAnsi="helvetica" w:eastAsia="宋体" w:cs="helvetica"/>
          <w:sz w:val="24"/>
          <w:szCs w:val="24"/>
          <w:lang w:val="en-US" w:eastAsia="zh-CN"/>
        </w:rPr>
      </w:pPr>
      <w:r>
        <w:rPr>
          <w:rFonts w:hint="eastAsia" w:ascii="helvetica" w:hAnsi="helvetica" w:eastAsia="宋体" w:cs="helvetica"/>
          <w:sz w:val="24"/>
          <w:szCs w:val="24"/>
          <w:lang w:val="en-US" w:eastAsia="zh-CN"/>
        </w:rPr>
        <w:t>结局指标：1主要结局指标：家庭肠内管饲患儿照顾者照护能力（FCTI）评分</w:t>
      </w:r>
    </w:p>
    <w:p w14:paraId="620F2314">
      <w:pPr>
        <w:keepNext w:val="0"/>
        <w:keepLines w:val="0"/>
        <w:widowControl/>
        <w:numPr>
          <w:ilvl w:val="0"/>
          <w:numId w:val="0"/>
        </w:numPr>
        <w:suppressLineNumbers w:val="0"/>
        <w:spacing w:before="0" w:beforeAutospacing="0" w:after="0" w:afterAutospacing="0"/>
        <w:ind w:right="0" w:rightChars="0"/>
        <w:rPr>
          <w:rFonts w:hint="eastAsia" w:ascii="helvetica" w:hAnsi="helvetica" w:eastAsia="宋体" w:cs="helvetica"/>
          <w:sz w:val="24"/>
          <w:szCs w:val="24"/>
          <w:lang w:val="en-US" w:eastAsia="zh-CN"/>
        </w:rPr>
      </w:pPr>
      <w:r>
        <w:rPr>
          <w:rFonts w:hint="eastAsia" w:ascii="helvetica" w:hAnsi="helvetica" w:eastAsia="宋体" w:cs="helvetica"/>
          <w:sz w:val="24"/>
          <w:szCs w:val="24"/>
          <w:lang w:val="en-US" w:eastAsia="zh-CN"/>
        </w:rPr>
        <w:t>2次要结局指标： ①家庭肠内管饲患儿并发症发生率：并发症包括恶心，呕吐，腹胀，腹泻， 便秘，胃潴留，导管滑脱，导管移位，导管堵塞，皮肤、黏膜损伤，吸人性肺炎，水电解质及血糖代谢系乱。</w:t>
      </w:r>
    </w:p>
    <w:p w14:paraId="5B1F28A8">
      <w:pPr>
        <w:keepNext w:val="0"/>
        <w:keepLines w:val="0"/>
        <w:widowControl/>
        <w:numPr>
          <w:ilvl w:val="0"/>
          <w:numId w:val="0"/>
        </w:numPr>
        <w:suppressLineNumbers w:val="0"/>
        <w:spacing w:before="0" w:beforeAutospacing="0" w:after="0" w:afterAutospacing="0"/>
        <w:ind w:right="0" w:rightChars="0"/>
        <w:rPr>
          <w:rFonts w:hint="eastAsia" w:ascii="helvetica" w:hAnsi="helvetica" w:eastAsia="宋体" w:cs="helvetica"/>
          <w:sz w:val="24"/>
          <w:szCs w:val="24"/>
          <w:lang w:val="en-US" w:eastAsia="zh-CN"/>
        </w:rPr>
      </w:pPr>
      <w:r>
        <w:rPr>
          <w:rFonts w:hint="eastAsia" w:ascii="helvetica" w:hAnsi="helvetica" w:eastAsia="宋体" w:cs="helvetica"/>
          <w:sz w:val="24"/>
          <w:szCs w:val="24"/>
          <w:lang w:val="en-US" w:eastAsia="zh-CN"/>
        </w:rPr>
        <w:t>②患儿出院后1月、2月、3月的年龄别体重z值（WAZ）、身高别体重z值（WHZ）。</w:t>
      </w:r>
    </w:p>
    <w:p w14:paraId="645DE590">
      <w:pPr>
        <w:keepNext w:val="0"/>
        <w:keepLines w:val="0"/>
        <w:widowControl/>
        <w:numPr>
          <w:ilvl w:val="0"/>
          <w:numId w:val="0"/>
        </w:numPr>
        <w:suppressLineNumbers w:val="0"/>
        <w:spacing w:before="0" w:beforeAutospacing="0" w:after="0" w:afterAutospacing="0"/>
        <w:ind w:right="0" w:rightChars="0"/>
        <w:rPr>
          <w:rFonts w:hint="eastAsia" w:ascii="helvetica" w:hAnsi="helvetica" w:eastAsia="宋体" w:cs="helvetica"/>
          <w:sz w:val="24"/>
          <w:szCs w:val="24"/>
          <w:lang w:val="en-US" w:eastAsia="zh-CN"/>
        </w:rPr>
      </w:pPr>
    </w:p>
    <w:p w14:paraId="3607798C">
      <w:pPr>
        <w:keepNext w:val="0"/>
        <w:keepLines w:val="0"/>
        <w:widowControl/>
        <w:numPr>
          <w:ilvl w:val="0"/>
          <w:numId w:val="0"/>
        </w:numPr>
        <w:suppressLineNumbers w:val="0"/>
        <w:spacing w:before="0" w:beforeAutospacing="0" w:after="0" w:afterAutospacing="0"/>
        <w:ind w:right="0" w:rightChars="0"/>
        <w:rPr>
          <w:rFonts w:hint="eastAsia" w:ascii="helvetica" w:hAnsi="helvetica" w:eastAsia="宋体" w:cs="helvetica"/>
          <w:sz w:val="24"/>
          <w:szCs w:val="24"/>
          <w:lang w:val="en-US" w:eastAsia="zh-CN"/>
        </w:rPr>
      </w:pPr>
    </w:p>
    <w:p w14:paraId="0DBD1DFC">
      <w:pPr>
        <w:keepNext w:val="0"/>
        <w:keepLines w:val="0"/>
        <w:widowControl/>
        <w:suppressLineNumbers w:val="0"/>
        <w:jc w:val="left"/>
      </w:pPr>
      <w:r>
        <w:rPr>
          <w:rStyle w:val="6"/>
          <w:rFonts w:ascii="Helvetica Neue" w:hAnsi="Helvetica Neue" w:eastAsia="Helvetica Neue" w:cs="Helvetica Neue"/>
          <w:b/>
          <w:bCs/>
          <w:i w:val="0"/>
          <w:iCs w:val="0"/>
          <w:caps w:val="0"/>
          <w:color w:val="0F1115"/>
          <w:spacing w:val="0"/>
          <w:kern w:val="0"/>
          <w:sz w:val="32"/>
          <w:szCs w:val="32"/>
          <w:u w:val="none"/>
          <w:lang w:val="en-US" w:eastAsia="zh-CN" w:bidi="ar"/>
        </w:rPr>
        <w:t>大疱表皮松解症患儿</w:t>
      </w:r>
      <w:r>
        <w:rPr>
          <w:rStyle w:val="6"/>
          <w:rFonts w:hint="eastAsia" w:ascii="Helvetica Neue" w:hAnsi="Helvetica Neue" w:eastAsia="Helvetica Neue" w:cs="Helvetica Neue"/>
          <w:b/>
          <w:bCs/>
          <w:i w:val="0"/>
          <w:iCs w:val="0"/>
          <w:caps w:val="0"/>
          <w:color w:val="0F1115"/>
          <w:spacing w:val="0"/>
          <w:kern w:val="0"/>
          <w:sz w:val="32"/>
          <w:szCs w:val="32"/>
          <w:u w:val="none"/>
          <w:lang w:val="en-US" w:eastAsia="zh-CN" w:bidi="ar"/>
        </w:rPr>
        <w:t>照护者</w:t>
      </w:r>
      <w:r>
        <w:rPr>
          <w:rStyle w:val="6"/>
          <w:rFonts w:ascii="Helvetica Neue" w:hAnsi="Helvetica Neue" w:eastAsia="Helvetica Neue" w:cs="Helvetica Neue"/>
          <w:b/>
          <w:bCs/>
          <w:i w:val="0"/>
          <w:iCs w:val="0"/>
          <w:caps w:val="0"/>
          <w:color w:val="0F1115"/>
          <w:spacing w:val="0"/>
          <w:kern w:val="0"/>
          <w:sz w:val="32"/>
          <w:szCs w:val="32"/>
          <w:u w:val="none"/>
          <w:lang w:val="en-US" w:eastAsia="zh-CN" w:bidi="ar"/>
        </w:rPr>
        <w:t>居家</w:t>
      </w:r>
      <w:r>
        <w:rPr>
          <w:rStyle w:val="6"/>
          <w:rFonts w:hint="eastAsia" w:ascii="Helvetica Neue" w:hAnsi="Helvetica Neue" w:eastAsia="Helvetica Neue" w:cs="Helvetica Neue"/>
          <w:b/>
          <w:bCs/>
          <w:i w:val="0"/>
          <w:iCs w:val="0"/>
          <w:caps w:val="0"/>
          <w:color w:val="0F1115"/>
          <w:spacing w:val="0"/>
          <w:kern w:val="0"/>
          <w:sz w:val="32"/>
          <w:szCs w:val="32"/>
          <w:u w:val="none"/>
          <w:lang w:val="en-US" w:eastAsia="zh-CN" w:bidi="ar"/>
        </w:rPr>
        <w:t>皮肤</w:t>
      </w:r>
      <w:r>
        <w:rPr>
          <w:rStyle w:val="6"/>
          <w:rFonts w:ascii="Helvetica Neue" w:hAnsi="Helvetica Neue" w:eastAsia="Helvetica Neue" w:cs="Helvetica Neue"/>
          <w:b/>
          <w:bCs/>
          <w:i w:val="0"/>
          <w:iCs w:val="0"/>
          <w:caps w:val="0"/>
          <w:color w:val="0F1115"/>
          <w:spacing w:val="0"/>
          <w:kern w:val="0"/>
          <w:sz w:val="32"/>
          <w:szCs w:val="32"/>
          <w:u w:val="none"/>
          <w:lang w:val="en-US" w:eastAsia="zh-CN" w:bidi="ar"/>
        </w:rPr>
        <w:t>伤口护理能力提升方案的构建与应用</w:t>
      </w:r>
    </w:p>
    <w:p w14:paraId="43D8C125">
      <w:pPr>
        <w:rPr>
          <w:rFonts w:hint="default"/>
          <w:lang w:val="en-US" w:eastAsia="zh-CN"/>
        </w:rPr>
      </w:pPr>
      <w:r>
        <w:rPr>
          <w:rFonts w:hint="default"/>
          <w:lang w:val="en-US" w:eastAsia="zh-CN"/>
        </w:rPr>
        <w:t>第一部分：</w:t>
      </w:r>
    </w:p>
    <w:p w14:paraId="4FA69FE4">
      <w:pPr>
        <w:rPr>
          <w:rFonts w:hint="default"/>
          <w:lang w:val="en-US" w:eastAsia="zh-CN"/>
        </w:rPr>
      </w:pPr>
    </w:p>
    <w:p w14:paraId="2FCD83AD">
      <w:pPr>
        <w:rPr>
          <w:rFonts w:hint="default"/>
          <w:lang w:val="en-US" w:eastAsia="zh-CN"/>
        </w:rPr>
      </w:pPr>
      <w:r>
        <w:rPr>
          <w:rFonts w:hint="default"/>
          <w:lang w:val="en-US" w:eastAsia="zh-CN"/>
        </w:rPr>
        <w:t>研究背景：强调EB患儿居家护理的必然性和重要性，重点突出父母作为主要照顾者面临的知识、技能和心理上的巨大挑战。</w:t>
      </w:r>
    </w:p>
    <w:p w14:paraId="19D79ACD">
      <w:pPr>
        <w:rPr>
          <w:rFonts w:hint="default"/>
          <w:lang w:val="en-US" w:eastAsia="zh-CN"/>
        </w:rPr>
      </w:pPr>
      <w:bookmarkStart w:id="0" w:name="_GoBack"/>
      <w:bookmarkEnd w:id="0"/>
    </w:p>
    <w:p w14:paraId="34A4AFE9">
      <w:pPr>
        <w:rPr>
          <w:rFonts w:hint="default"/>
          <w:lang w:val="en-US" w:eastAsia="zh-CN"/>
        </w:rPr>
      </w:pPr>
      <w:r>
        <w:rPr>
          <w:rFonts w:hint="default"/>
          <w:lang w:val="en-US" w:eastAsia="zh-CN"/>
        </w:rPr>
        <w:t>立题依据：明确指出，目前缺乏系统、可操作的方案来培训和支撑父母的居家护理能力。因此，本研究旨在构建一个“EB患儿父母居家伤口护理能力提升方案”。</w:t>
      </w:r>
    </w:p>
    <w:p w14:paraId="664F9748">
      <w:pPr>
        <w:rPr>
          <w:rFonts w:hint="default"/>
          <w:lang w:val="en-US" w:eastAsia="zh-CN"/>
        </w:rPr>
      </w:pPr>
    </w:p>
    <w:p w14:paraId="1AE4D063">
      <w:pPr>
        <w:rPr>
          <w:rFonts w:hint="eastAsia"/>
          <w:lang w:val="en-US" w:eastAsia="zh-CN"/>
        </w:rPr>
      </w:pPr>
      <w:r>
        <w:rPr>
          <w:rFonts w:hint="eastAsia"/>
          <w:lang w:val="en-US" w:eastAsia="zh-CN"/>
        </w:rPr>
        <w:t>第一部分：皮肤伤口护理证据总结（需要掌握的皮肤伤口护理内容有那些）</w:t>
      </w:r>
    </w:p>
    <w:p w14:paraId="48DACC09">
      <w:pPr>
        <w:rPr>
          <w:rFonts w:hint="default"/>
          <w:lang w:val="en-US" w:eastAsia="zh-CN"/>
        </w:rPr>
      </w:pPr>
      <w:r>
        <w:rPr>
          <w:rFonts w:hint="eastAsia"/>
          <w:lang w:val="en-US" w:eastAsia="zh-CN"/>
        </w:rPr>
        <w:t>第二部分：照护者皮肤伤口居家护理需求（质性访谈反映的现状和需求，护理能力不足、希望得到何种形式的帮助，喜欢视频还是图文？希望线上还是线下？）</w:t>
      </w:r>
    </w:p>
    <w:p w14:paraId="1999E110">
      <w:pPr>
        <w:rPr>
          <w:rFonts w:hint="eastAsia"/>
          <w:lang w:val="en-US" w:eastAsia="zh-CN"/>
        </w:rPr>
      </w:pPr>
      <w:r>
        <w:rPr>
          <w:rFonts w:hint="eastAsia"/>
          <w:lang w:val="en-US" w:eastAsia="zh-CN"/>
        </w:rPr>
        <w:t>第三部分：结合证据及访谈构建的居家皮肤伤口护理能力提升方案初稿，两轮德尔菲（把方案终稿改成下面两种形式（您感觉哪一种比较好，第一种包括情感技能反响之类的是因为他使用了理论，还有感觉他们很多都是从院内就开始干预，顾老师学生那一篇就是这样。我这个应该做不到从院内就开始吧，或者要开始是不是来过ebmdt的人也算，院内干预了一下子）</w:t>
      </w:r>
    </w:p>
    <w:p w14:paraId="551537C3">
      <w:pPr>
        <w:keepNext w:val="0"/>
        <w:keepLines w:val="0"/>
        <w:widowControl/>
        <w:numPr>
          <w:ilvl w:val="0"/>
          <w:numId w:val="0"/>
        </w:numPr>
        <w:suppressLineNumbers w:val="0"/>
        <w:spacing w:before="0" w:beforeAutospacing="0" w:after="0" w:afterAutospacing="0"/>
        <w:ind w:right="0" w:rightChars="0"/>
        <w:rPr>
          <w:rFonts w:hint="eastAsia" w:ascii="helvetica" w:hAnsi="helvetica" w:eastAsia="宋体" w:cs="helvetica"/>
          <w:sz w:val="24"/>
          <w:szCs w:val="24"/>
          <w:lang w:val="en-US" w:eastAsia="zh-CN"/>
        </w:rPr>
      </w:pPr>
      <w:r>
        <w:rPr>
          <w:rFonts w:hint="default"/>
          <w:lang w:val="en-US" w:eastAsia="zh-CN"/>
        </w:rPr>
        <w:drawing>
          <wp:inline distT="0" distB="0" distL="114300" distR="114300">
            <wp:extent cx="5273040" cy="5450840"/>
            <wp:effectExtent l="0" t="0" r="10160" b="10160"/>
            <wp:docPr id="3" name="图片 3" descr="截屏2025-09-18 08.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09-18 08.53.48"/>
                    <pic:cNvPicPr>
                      <a:picLocks noChangeAspect="1"/>
                    </pic:cNvPicPr>
                  </pic:nvPicPr>
                  <pic:blipFill>
                    <a:blip r:embed="rId5"/>
                    <a:stretch>
                      <a:fillRect/>
                    </a:stretch>
                  </pic:blipFill>
                  <pic:spPr>
                    <a:xfrm>
                      <a:off x="0" y="0"/>
                      <a:ext cx="5273040" cy="5450840"/>
                    </a:xfrm>
                    <a:prstGeom prst="rect">
                      <a:avLst/>
                    </a:prstGeom>
                  </pic:spPr>
                </pic:pic>
              </a:graphicData>
            </a:graphic>
          </wp:inline>
        </w:drawing>
      </w:r>
    </w:p>
    <w:p w14:paraId="547C9F0F">
      <w:pPr>
        <w:keepNext w:val="0"/>
        <w:keepLines w:val="0"/>
        <w:widowControl/>
        <w:numPr>
          <w:ilvl w:val="0"/>
          <w:numId w:val="0"/>
        </w:numPr>
        <w:suppressLineNumbers w:val="0"/>
        <w:spacing w:before="0" w:beforeAutospacing="0" w:after="0" w:afterAutospacing="0"/>
        <w:ind w:right="0" w:rightChars="0"/>
        <w:jc w:val="both"/>
        <w:rPr>
          <w:rFonts w:hint="default" w:ascii="helvetica" w:hAnsi="helvetica" w:eastAsia="宋体" w:cs="helvetica"/>
          <w:sz w:val="24"/>
          <w:szCs w:val="24"/>
          <w:lang w:val="en-US" w:eastAsia="zh-CN"/>
        </w:rPr>
      </w:pPr>
    </w:p>
    <w:p w14:paraId="56150937">
      <w:pPr>
        <w:rPr>
          <w:rFonts w:hint="default"/>
          <w:lang w:val="en-US" w:eastAsia="zh-CN"/>
        </w:rPr>
      </w:pPr>
      <w:r>
        <w:rPr>
          <w:rFonts w:hint="default"/>
          <w:lang w:val="en-US" w:eastAsia="zh-CN"/>
        </w:rPr>
        <w:drawing>
          <wp:inline distT="0" distB="0" distL="114300" distR="114300">
            <wp:extent cx="5273675" cy="4846320"/>
            <wp:effectExtent l="0" t="0" r="9525" b="5080"/>
            <wp:docPr id="5" name="图片 5" descr="截屏2025-09-18 15.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5-09-18 15.34.37"/>
                    <pic:cNvPicPr>
                      <a:picLocks noChangeAspect="1"/>
                    </pic:cNvPicPr>
                  </pic:nvPicPr>
                  <pic:blipFill>
                    <a:blip r:embed="rId6"/>
                    <a:stretch>
                      <a:fillRect/>
                    </a:stretch>
                  </pic:blipFill>
                  <pic:spPr>
                    <a:xfrm>
                      <a:off x="0" y="0"/>
                      <a:ext cx="5273675" cy="4846320"/>
                    </a:xfrm>
                    <a:prstGeom prst="rect">
                      <a:avLst/>
                    </a:prstGeom>
                  </pic:spPr>
                </pic:pic>
              </a:graphicData>
            </a:graphic>
          </wp:inline>
        </w:drawing>
      </w:r>
    </w:p>
    <w:p w14:paraId="7DD79016">
      <w:pPr>
        <w:rPr>
          <w:rFonts w:hint="default"/>
          <w:lang w:val="en-US" w:eastAsia="zh-CN"/>
        </w:rPr>
      </w:pPr>
      <w:r>
        <w:rPr>
          <w:rFonts w:hint="eastAsia"/>
          <w:lang w:val="en-US" w:eastAsia="zh-CN"/>
        </w:rPr>
        <w:t>第四部分应用可行性验证（感觉可能就收个5个患儿差不多了，您感觉呢）</w:t>
      </w:r>
    </w:p>
    <w:p w14:paraId="57A6B994">
      <w:pPr>
        <w:rPr>
          <w:rFonts w:hint="default"/>
          <w:lang w:val="en-US" w:eastAsia="zh-CN"/>
        </w:rPr>
      </w:pPr>
      <w:r>
        <w:rPr>
          <w:rFonts w:hint="eastAsia"/>
          <w:lang w:val="en-US" w:eastAsia="zh-CN"/>
        </w:rPr>
        <w:t xml:space="preserve">采用自身前后对照 </w:t>
      </w:r>
    </w:p>
    <w:p w14:paraId="6A01C8EB">
      <w:pPr>
        <w:rPr>
          <w:rFonts w:hint="eastAsia"/>
          <w:lang w:val="en-US" w:eastAsia="zh-CN"/>
        </w:rPr>
      </w:pPr>
      <w:r>
        <w:rPr>
          <w:rFonts w:hint="eastAsia"/>
          <w:lang w:val="en-US" w:eastAsia="zh-CN"/>
        </w:rPr>
        <w:t>包括干预方法：干预内容包括类似这种视频/图文教学（换药操作、皮肤保护）</w:t>
      </w:r>
    </w:p>
    <w:p w14:paraId="01332125">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线上/线下小组培训</w:t>
      </w:r>
    </w:p>
    <w:p w14:paraId="4DD5ABB7">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个别化指导与随访</w:t>
      </w:r>
    </w:p>
    <w:p w14:paraId="0352B968">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更偏向“居家可用”的策略，而不是临床护士才能完成的操作。</w:t>
      </w:r>
    </w:p>
    <w:p w14:paraId="29D29C4A">
      <w:pPr>
        <w:rPr>
          <w:rFonts w:hint="eastAsia"/>
          <w:lang w:val="en-US" w:eastAsia="zh-CN"/>
        </w:rPr>
      </w:pPr>
      <w:r>
        <w:rPr>
          <w:rFonts w:hint="eastAsia"/>
          <w:lang w:val="en-US" w:eastAsia="zh-CN"/>
        </w:rPr>
        <w:t>评价指标：主要结局指标（家庭照顾者照护能力测量量表）还有ai建议用操作核对表和自我效能表，（但是操作核对表应该是不是也需要信效度啊）</w:t>
      </w:r>
    </w:p>
    <w:p w14:paraId="130956E8">
      <w:pPr>
        <w:rPr>
          <w:rFonts w:hint="default"/>
          <w:lang w:val="en-US" w:eastAsia="zh-CN"/>
        </w:rPr>
      </w:pPr>
      <w:r>
        <w:rPr>
          <w:rFonts w:hint="eastAsia"/>
          <w:lang w:val="en-US" w:eastAsia="zh-CN"/>
        </w:rPr>
        <w:t>本研究基于专家共识开发操作核对表，主要用于应用环节的可行性评价</w:t>
      </w:r>
    </w:p>
    <w:p w14:paraId="48797455">
      <w:pPr>
        <w:rPr>
          <w:rFonts w:hint="eastAsia"/>
          <w:lang w:val="en-US" w:eastAsia="zh-CN"/>
        </w:rPr>
      </w:pPr>
      <w:r>
        <w:rPr>
          <w:rFonts w:hint="eastAsia"/>
          <w:lang w:val="en-US" w:eastAsia="zh-CN"/>
        </w:rPr>
        <w:t>次要结局指标：患儿伤口状况（没想好内容，实在不行用龙哥那种大伤口、小伤口那种）</w:t>
      </w:r>
    </w:p>
    <w:p w14:paraId="3CF7CCD4">
      <w:pPr>
        <w:rPr>
          <w:rFonts w:hint="eastAsia"/>
          <w:lang w:val="en-US" w:eastAsia="zh-CN"/>
        </w:rPr>
      </w:pPr>
      <w:r>
        <w:rPr>
          <w:rFonts w:hint="eastAsia"/>
          <w:lang w:val="en-US" w:eastAsia="zh-CN"/>
        </w:rPr>
        <w:t>感染发生次数（这个您觉得自我报告应该就够了吧）</w:t>
      </w:r>
    </w:p>
    <w:p w14:paraId="29CCFE79">
      <w:pPr>
        <w:rPr>
          <w:rFonts w:hint="eastAsia"/>
          <w:lang w:val="en-US" w:eastAsia="zh-CN"/>
        </w:rPr>
      </w:pPr>
      <w:r>
        <w:rPr>
          <w:rFonts w:hint="eastAsia"/>
          <w:lang w:val="en-US" w:eastAsia="zh-CN"/>
        </w:rPr>
        <w:tab/>
      </w:r>
      <w:r>
        <w:rPr>
          <w:rFonts w:hint="eastAsia"/>
          <w:lang w:val="en-US" w:eastAsia="zh-CN"/>
        </w:rPr>
        <w:t>•</w:t>
      </w:r>
      <w:r>
        <w:rPr>
          <w:rFonts w:hint="eastAsia"/>
          <w:lang w:val="en-US" w:eastAsia="zh-CN"/>
        </w:rPr>
        <w:tab/>
      </w:r>
      <w:r>
        <w:rPr>
          <w:rFonts w:hint="eastAsia"/>
          <w:lang w:val="en-US" w:eastAsia="zh-CN"/>
        </w:rPr>
        <w:t>照护者负担与心理状态（ZBI）。</w:t>
      </w:r>
    </w:p>
    <w:p w14:paraId="491C5ECB">
      <w:pPr>
        <w:rPr>
          <w:rFonts w:hint="default"/>
          <w:lang w:val="en-US" w:eastAsia="zh-CN"/>
        </w:rPr>
      </w:pPr>
      <w:r>
        <w:rPr>
          <w:rFonts w:hint="eastAsia"/>
          <w:lang w:val="en-US" w:eastAsia="zh-CN"/>
        </w:rPr>
        <w:t>再加上个对方案应用的访谈：感觉好不好用，哪里不好用这种的。</w:t>
      </w:r>
    </w:p>
    <w:p w14:paraId="7929901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w:panose1 w:val="00000000000000000000"/>
    <w:charset w:val="00"/>
    <w:family w:val="auto"/>
    <w:pitch w:val="default"/>
    <w:sig w:usb0="E00002FF" w:usb1="5000785B" w:usb2="00000000" w:usb3="00000000" w:csb0="2000019F" w:csb1="4F01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BD63BA"/>
    <w:rsid w:val="3DF72EFA"/>
    <w:rsid w:val="7BBD6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paragraph" w:customStyle="1" w:styleId="7">
    <w:name w:val="p1"/>
    <w:basedOn w:val="1"/>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37</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2025-09-18T16:46:00Z</dcterms:created>
  <dc:creator>零</dc:creator>
  <cp:lastModifiedBy>零</cp:lastModifiedBy>
  <dcterms:modified xsi:type="dcterms:W3CDTF">2025-09-18T16:08:23Z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BD1C9106E7227CA17056CB68ED6976F6_41</vt:lpwstr>
  </property>
</Properties>
</file>