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pPr w:leftFromText="180" w:rightFromText="180" w:vertAnchor="text" w:horzAnchor="page" w:tblpX="1971" w:tblpY="439"/>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2"/>
        <w:gridCol w:w="844"/>
        <w:gridCol w:w="6853"/>
      </w:tblGrid>
      <w:tr w14:paraId="57C4702B">
        <w:tc>
          <w:tcPr>
            <w:tcW w:w="483" w:type="pct"/>
            <w:tcBorders>
              <w:top w:val="single" w:color="auto" w:sz="12" w:space="0"/>
              <w:bottom w:val="single" w:color="auto" w:sz="6" w:space="0"/>
            </w:tcBorders>
          </w:tcPr>
          <w:p w14:paraId="46C5AABC">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rPr>
              <w:t>一级条目</w:t>
            </w:r>
          </w:p>
        </w:tc>
        <w:tc>
          <w:tcPr>
            <w:tcW w:w="495" w:type="pct"/>
            <w:tcBorders>
              <w:top w:val="single" w:color="auto" w:sz="12" w:space="0"/>
              <w:bottom w:val="single" w:color="auto" w:sz="6" w:space="0"/>
            </w:tcBorders>
          </w:tcPr>
          <w:p w14:paraId="5521A8DC">
            <w:pPr>
              <w:spacing w:line="360" w:lineRule="auto"/>
              <w:rPr>
                <w:rFonts w:ascii="Times New Roman Regular" w:hAnsi="Times New Roman Regular" w:eastAsia="Songti SC Regular" w:cs="Times New Roman Regular"/>
                <w:color w:val="000000"/>
                <w:kern w:val="0"/>
                <w:sz w:val="15"/>
                <w:szCs w:val="15"/>
              </w:rPr>
            </w:pPr>
            <w:r>
              <w:rPr>
                <w:rFonts w:ascii="Times New Roman Regular" w:hAnsi="Times New Roman Regular" w:eastAsia="Songti SC Regular" w:cs="Times New Roman Regular"/>
                <w:sz w:val="15"/>
                <w:szCs w:val="15"/>
              </w:rPr>
              <w:t>二级条目</w:t>
            </w:r>
          </w:p>
        </w:tc>
        <w:tc>
          <w:tcPr>
            <w:tcW w:w="4021" w:type="pct"/>
            <w:tcBorders>
              <w:top w:val="single" w:color="auto" w:sz="12" w:space="0"/>
              <w:bottom w:val="single" w:color="auto" w:sz="6" w:space="0"/>
            </w:tcBorders>
          </w:tcPr>
          <w:p w14:paraId="7487FAA8">
            <w:pPr>
              <w:spacing w:line="360" w:lineRule="auto"/>
              <w:rPr>
                <w:rFonts w:ascii="Times New Roman Regular" w:hAnsi="Times New Roman Regular" w:eastAsia="Songti SC Regular" w:cs="Times New Roman Regular"/>
                <w:color w:val="000000"/>
                <w:kern w:val="0"/>
                <w:sz w:val="15"/>
                <w:szCs w:val="15"/>
              </w:rPr>
            </w:pPr>
            <w:r>
              <w:rPr>
                <w:rFonts w:ascii="Times New Roman Regular" w:hAnsi="Times New Roman Regular" w:eastAsia="Songti SC Regular" w:cs="Times New Roman Regular"/>
                <w:sz w:val="15"/>
                <w:szCs w:val="15"/>
              </w:rPr>
              <w:t>三级条目</w:t>
            </w:r>
          </w:p>
        </w:tc>
      </w:tr>
      <w:tr w14:paraId="2E82B2A4">
        <w:trPr>
          <w:trHeight w:val="526" w:hRule="atLeast"/>
        </w:trPr>
        <w:tc>
          <w:tcPr>
            <w:tcW w:w="483" w:type="pct"/>
            <w:vMerge w:val="restart"/>
            <w:tcBorders>
              <w:top w:val="single" w:color="auto" w:sz="6" w:space="0"/>
            </w:tcBorders>
          </w:tcPr>
          <w:p w14:paraId="3836EDDE">
            <w:pPr>
              <w:spacing w:line="360" w:lineRule="auto"/>
              <w:outlineLvl w:val="0"/>
              <w:rPr>
                <w:rFonts w:ascii="Times New Roman Regular" w:hAnsi="Times New Roman Regular" w:eastAsia="Songti SC Regular" w:cs="Times New Roman Regular"/>
                <w:sz w:val="15"/>
                <w:szCs w:val="15"/>
                <w:lang w:bidi="ar"/>
              </w:rPr>
            </w:pPr>
            <w:r>
              <w:rPr>
                <w:rFonts w:ascii="Times New Roman Regular" w:hAnsi="Times New Roman Regular" w:eastAsia="Songti SC Regular" w:cs="Times New Roman Regular"/>
                <w:sz w:val="15"/>
                <w:szCs w:val="15"/>
                <w:lang w:bidi="ar"/>
              </w:rPr>
              <w:t>1.皮肤护理</w:t>
            </w:r>
          </w:p>
        </w:tc>
        <w:tc>
          <w:tcPr>
            <w:tcW w:w="495" w:type="pct"/>
            <w:tcBorders>
              <w:top w:val="single" w:color="auto" w:sz="6" w:space="0"/>
            </w:tcBorders>
          </w:tcPr>
          <w:p w14:paraId="227C696E">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1.1皮肤评估</w:t>
            </w:r>
          </w:p>
        </w:tc>
        <w:tc>
          <w:tcPr>
            <w:tcW w:w="4021" w:type="pct"/>
            <w:tcBorders>
              <w:top w:val="single" w:color="auto" w:sz="6" w:space="0"/>
            </w:tcBorders>
          </w:tcPr>
          <w:p w14:paraId="105BE930">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1.1.1应进行每日皮肤评估，重点关注骨突处及受压部位。对于婴幼儿，需将尿布区域评估纳入每次更换的标准化流程。</w:t>
            </w:r>
          </w:p>
        </w:tc>
      </w:tr>
      <w:tr w14:paraId="5ADD18A9">
        <w:trPr>
          <w:trHeight w:val="229" w:hRule="atLeast"/>
        </w:trPr>
        <w:tc>
          <w:tcPr>
            <w:tcW w:w="483" w:type="pct"/>
            <w:vMerge w:val="continue"/>
          </w:tcPr>
          <w:p w14:paraId="5401016A">
            <w:pPr>
              <w:spacing w:line="360" w:lineRule="auto"/>
              <w:outlineLvl w:val="0"/>
              <w:rPr>
                <w:rFonts w:ascii="Times New Roman Regular" w:hAnsi="Times New Roman Regular" w:eastAsia="Songti SC Regular" w:cs="Times New Roman Regular"/>
                <w:sz w:val="15"/>
                <w:szCs w:val="15"/>
                <w:lang w:bidi="ar"/>
              </w:rPr>
            </w:pPr>
          </w:p>
        </w:tc>
        <w:tc>
          <w:tcPr>
            <w:tcW w:w="495" w:type="pct"/>
            <w:vMerge w:val="restart"/>
          </w:tcPr>
          <w:p w14:paraId="048D8FD5">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1.2皮肤清洁</w:t>
            </w:r>
          </w:p>
        </w:tc>
        <w:tc>
          <w:tcPr>
            <w:tcW w:w="4021" w:type="pct"/>
          </w:tcPr>
          <w:p w14:paraId="717AC345">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1.2.1根据患者伤口状况、年龄及环境因素，为患者制定个体化沐浴频率方案。</w:t>
            </w:r>
          </w:p>
        </w:tc>
      </w:tr>
      <w:tr w14:paraId="55E0E5C4">
        <w:tc>
          <w:tcPr>
            <w:tcW w:w="483" w:type="pct"/>
            <w:vMerge w:val="continue"/>
          </w:tcPr>
          <w:p w14:paraId="6AED3AEC">
            <w:pPr>
              <w:rPr>
                <w:rFonts w:ascii="Times New Roman Regular" w:hAnsi="Times New Roman Regular" w:eastAsia="Songti SC Regular" w:cs="Times New Roman Regular"/>
                <w:sz w:val="15"/>
                <w:szCs w:val="15"/>
              </w:rPr>
            </w:pPr>
          </w:p>
        </w:tc>
        <w:tc>
          <w:tcPr>
            <w:tcW w:w="495" w:type="pct"/>
            <w:vMerge w:val="continue"/>
          </w:tcPr>
          <w:p w14:paraId="7867F7B1">
            <w:pPr>
              <w:rPr>
                <w:rFonts w:ascii="Times New Roman Regular" w:hAnsi="Times New Roman Regular" w:eastAsia="Songti SC Regular" w:cs="Times New Roman Regular"/>
                <w:sz w:val="15"/>
                <w:szCs w:val="15"/>
              </w:rPr>
            </w:pPr>
          </w:p>
        </w:tc>
        <w:tc>
          <w:tcPr>
            <w:tcW w:w="4021" w:type="pct"/>
          </w:tcPr>
          <w:p w14:paraId="099DEB90">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1.2.2正确选用合适的清洁溶液（如温开水、生理盐水）</w:t>
            </w:r>
          </w:p>
        </w:tc>
      </w:tr>
      <w:tr w14:paraId="3D695E3F">
        <w:tc>
          <w:tcPr>
            <w:tcW w:w="483" w:type="pct"/>
            <w:vMerge w:val="continue"/>
          </w:tcPr>
          <w:p w14:paraId="17B42AD9">
            <w:pPr>
              <w:rPr>
                <w:rFonts w:ascii="Times New Roman Regular" w:hAnsi="Times New Roman Regular" w:eastAsia="Songti SC Regular" w:cs="Times New Roman Regular"/>
                <w:sz w:val="15"/>
                <w:szCs w:val="15"/>
              </w:rPr>
            </w:pPr>
          </w:p>
        </w:tc>
        <w:tc>
          <w:tcPr>
            <w:tcW w:w="495" w:type="pct"/>
            <w:vMerge w:val="continue"/>
          </w:tcPr>
          <w:p w14:paraId="6C04D18D">
            <w:pPr>
              <w:rPr>
                <w:rFonts w:ascii="Times New Roman Regular" w:hAnsi="Times New Roman Regular" w:eastAsia="Songti SC Regular" w:cs="Times New Roman Regular"/>
                <w:sz w:val="15"/>
                <w:szCs w:val="15"/>
              </w:rPr>
            </w:pPr>
          </w:p>
        </w:tc>
        <w:tc>
          <w:tcPr>
            <w:tcW w:w="4021" w:type="pct"/>
          </w:tcPr>
          <w:p w14:paraId="6487CEE8">
            <w:pPr>
              <w:spacing w:line="360" w:lineRule="auto"/>
              <w:rPr>
                <w:rFonts w:ascii="Times New Roman Regular" w:hAnsi="Times New Roman Regular" w:eastAsia="Songti SC Regular" w:cs="Times New Roman Regular"/>
                <w:sz w:val="15"/>
                <w:szCs w:val="15"/>
                <w:highlight w:val="yellow"/>
              </w:rPr>
            </w:pPr>
            <w:r>
              <w:rPr>
                <w:rFonts w:ascii="Times New Roman Regular" w:hAnsi="Times New Roman Regular" w:eastAsia="Songti SC Regular" w:cs="Times New Roman Regular"/>
                <w:sz w:val="15"/>
                <w:szCs w:val="15"/>
                <w:lang w:bidi="ar"/>
              </w:rPr>
              <w:t>1.2.3应在沐浴后立即使用无香料、低敏性润肤剂进行规范涂抹，以维持皮肤屏障功能</w:t>
            </w:r>
          </w:p>
        </w:tc>
      </w:tr>
      <w:tr w14:paraId="208B1607">
        <w:tc>
          <w:tcPr>
            <w:tcW w:w="483" w:type="pct"/>
            <w:vMerge w:val="continue"/>
          </w:tcPr>
          <w:p w14:paraId="4E91BEA9">
            <w:pPr>
              <w:spacing w:line="360" w:lineRule="auto"/>
              <w:rPr>
                <w:rFonts w:ascii="Times New Roman Regular" w:hAnsi="Times New Roman Regular" w:eastAsia="Songti SC Regular" w:cs="Times New Roman Regular"/>
                <w:sz w:val="15"/>
                <w:szCs w:val="15"/>
                <w:lang w:bidi="ar"/>
              </w:rPr>
            </w:pPr>
          </w:p>
        </w:tc>
        <w:tc>
          <w:tcPr>
            <w:tcW w:w="495" w:type="pct"/>
            <w:vMerge w:val="restart"/>
          </w:tcPr>
          <w:p w14:paraId="403AB01B">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1.3皮肤保护</w:t>
            </w:r>
          </w:p>
        </w:tc>
        <w:tc>
          <w:tcPr>
            <w:tcW w:w="4021" w:type="pct"/>
          </w:tcPr>
          <w:p w14:paraId="0E1467D1">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1.3.1应选择柔软、无接缝、宽松的衣物（如棉、丝材质），并建议采取反穿衣物、剪除标签等方式减少摩擦。</w:t>
            </w:r>
          </w:p>
        </w:tc>
      </w:tr>
      <w:tr w14:paraId="5E37D903">
        <w:tc>
          <w:tcPr>
            <w:tcW w:w="483" w:type="pct"/>
            <w:vMerge w:val="continue"/>
          </w:tcPr>
          <w:p w14:paraId="5C405122">
            <w:pPr>
              <w:rPr>
                <w:rFonts w:ascii="Times New Roman Regular" w:hAnsi="Times New Roman Regular" w:eastAsia="Songti SC Regular" w:cs="Times New Roman Regular"/>
                <w:sz w:val="15"/>
                <w:szCs w:val="15"/>
              </w:rPr>
            </w:pPr>
          </w:p>
        </w:tc>
        <w:tc>
          <w:tcPr>
            <w:tcW w:w="495" w:type="pct"/>
            <w:vMerge w:val="continue"/>
          </w:tcPr>
          <w:p w14:paraId="051DEA44">
            <w:pPr>
              <w:rPr>
                <w:rFonts w:ascii="Times New Roman Regular" w:hAnsi="Times New Roman Regular" w:eastAsia="Songti SC Regular" w:cs="Times New Roman Regular"/>
                <w:sz w:val="15"/>
                <w:szCs w:val="15"/>
              </w:rPr>
            </w:pPr>
          </w:p>
        </w:tc>
        <w:tc>
          <w:tcPr>
            <w:tcW w:w="4021" w:type="pct"/>
          </w:tcPr>
          <w:p w14:paraId="63F9F63E">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1.3.2根据患者活动度及部位，制定物理防护方案，如使用筒状弹性绷带或定制防护衣物，以预防机械性损伤。</w:t>
            </w:r>
          </w:p>
        </w:tc>
      </w:tr>
      <w:tr w14:paraId="49EED708">
        <w:tc>
          <w:tcPr>
            <w:tcW w:w="483" w:type="pct"/>
            <w:vMerge w:val="continue"/>
          </w:tcPr>
          <w:p w14:paraId="69F1BE60">
            <w:pPr>
              <w:rPr>
                <w:rFonts w:ascii="Times New Roman Regular" w:hAnsi="Times New Roman Regular" w:eastAsia="Songti SC Regular" w:cs="Times New Roman Regular"/>
                <w:sz w:val="15"/>
                <w:szCs w:val="15"/>
              </w:rPr>
            </w:pPr>
          </w:p>
        </w:tc>
        <w:tc>
          <w:tcPr>
            <w:tcW w:w="495" w:type="pct"/>
            <w:vMerge w:val="continue"/>
          </w:tcPr>
          <w:p w14:paraId="0E9A2757">
            <w:pPr>
              <w:rPr>
                <w:rFonts w:ascii="Times New Roman Regular" w:hAnsi="Times New Roman Regular" w:eastAsia="Songti SC Regular" w:cs="Times New Roman Regular"/>
                <w:sz w:val="15"/>
                <w:szCs w:val="15"/>
              </w:rPr>
            </w:pPr>
          </w:p>
        </w:tc>
        <w:tc>
          <w:tcPr>
            <w:tcW w:w="4021" w:type="pct"/>
          </w:tcPr>
          <w:p w14:paraId="735C72E0">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1.3.3应掌握正确的体位转移技术（如侧抱法）及辅助工具（软垫）的使用，以最小化剪切力和摩擦力。</w:t>
            </w:r>
          </w:p>
        </w:tc>
      </w:tr>
      <w:tr w14:paraId="3852D68B">
        <w:tc>
          <w:tcPr>
            <w:tcW w:w="483" w:type="pct"/>
            <w:vMerge w:val="continue"/>
          </w:tcPr>
          <w:p w14:paraId="72A30D9D">
            <w:pPr>
              <w:rPr>
                <w:rFonts w:ascii="Times New Roman Regular" w:hAnsi="Times New Roman Regular" w:eastAsia="Songti SC Regular" w:cs="Times New Roman Regular"/>
                <w:sz w:val="15"/>
                <w:szCs w:val="15"/>
              </w:rPr>
            </w:pPr>
          </w:p>
        </w:tc>
        <w:tc>
          <w:tcPr>
            <w:tcW w:w="495" w:type="pct"/>
            <w:vMerge w:val="continue"/>
          </w:tcPr>
          <w:p w14:paraId="036143C4">
            <w:pPr>
              <w:rPr>
                <w:rFonts w:ascii="Times New Roman Regular" w:hAnsi="Times New Roman Regular" w:eastAsia="Songti SC Regular" w:cs="Times New Roman Regular"/>
                <w:sz w:val="15"/>
                <w:szCs w:val="15"/>
              </w:rPr>
            </w:pPr>
          </w:p>
        </w:tc>
        <w:tc>
          <w:tcPr>
            <w:tcW w:w="4021" w:type="pct"/>
          </w:tcPr>
          <w:p w14:paraId="02400D71">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1.3.4对于KS患者，需早期做好防晒措施，推荐佩戴防晒帽、遮阳伞等物理防晒方式；若使用防晒霜，需在日晒前15-30分钟足量涂抹；小于6个月的患者应使用物理防晒。</w:t>
            </w:r>
          </w:p>
        </w:tc>
      </w:tr>
      <w:tr w14:paraId="0A0AD0D2">
        <w:tc>
          <w:tcPr>
            <w:tcW w:w="483" w:type="pct"/>
            <w:vMerge w:val="continue"/>
          </w:tcPr>
          <w:p w14:paraId="0F3A0362">
            <w:pPr>
              <w:spacing w:line="360" w:lineRule="auto"/>
              <w:outlineLvl w:val="0"/>
              <w:rPr>
                <w:rFonts w:ascii="Times New Roman Regular" w:hAnsi="Times New Roman Regular" w:eastAsia="Songti SC Regular" w:cs="Times New Roman Regular"/>
                <w:sz w:val="15"/>
                <w:szCs w:val="15"/>
                <w:lang w:bidi="ar"/>
              </w:rPr>
            </w:pPr>
          </w:p>
        </w:tc>
        <w:tc>
          <w:tcPr>
            <w:tcW w:w="495" w:type="pct"/>
            <w:vMerge w:val="restart"/>
          </w:tcPr>
          <w:p w14:paraId="407F35DB">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1.4皮肤瘙痒</w:t>
            </w:r>
          </w:p>
        </w:tc>
        <w:tc>
          <w:tcPr>
            <w:tcW w:w="4021" w:type="pct"/>
          </w:tcPr>
          <w:p w14:paraId="7BF6C8E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1.4.1应使用行为干预技术（如轻压皮肤、吹气）替代搔抓。若必需，可使用末端圆钝的按摩装置。</w:t>
            </w:r>
          </w:p>
        </w:tc>
      </w:tr>
      <w:tr w14:paraId="1BF6AC4F">
        <w:tc>
          <w:tcPr>
            <w:tcW w:w="483" w:type="pct"/>
            <w:vMerge w:val="continue"/>
          </w:tcPr>
          <w:p w14:paraId="01C62EE5">
            <w:pPr>
              <w:rPr>
                <w:rFonts w:ascii="Times New Roman Regular" w:hAnsi="Times New Roman Regular" w:eastAsia="Songti SC Regular" w:cs="Times New Roman Regular"/>
                <w:sz w:val="15"/>
                <w:szCs w:val="15"/>
              </w:rPr>
            </w:pPr>
          </w:p>
        </w:tc>
        <w:tc>
          <w:tcPr>
            <w:tcW w:w="495" w:type="pct"/>
            <w:vMerge w:val="continue"/>
          </w:tcPr>
          <w:p w14:paraId="61312B4E">
            <w:pPr>
              <w:rPr>
                <w:rFonts w:ascii="Times New Roman Regular" w:hAnsi="Times New Roman Regular" w:eastAsia="Songti SC Regular" w:cs="Times New Roman Regular"/>
                <w:sz w:val="15"/>
                <w:szCs w:val="15"/>
              </w:rPr>
            </w:pPr>
          </w:p>
        </w:tc>
        <w:tc>
          <w:tcPr>
            <w:tcW w:w="4021" w:type="pct"/>
          </w:tcPr>
          <w:p w14:paraId="6BF2BCDD">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1.4.2应用认知行为策略（如放松训练、转移注意力、深呼吸）以缓解情感因素引发的瘙痒。</w:t>
            </w:r>
          </w:p>
        </w:tc>
      </w:tr>
      <w:tr w14:paraId="6B41F9F8">
        <w:trPr>
          <w:trHeight w:val="90" w:hRule="atLeast"/>
        </w:trPr>
        <w:tc>
          <w:tcPr>
            <w:tcW w:w="483" w:type="pct"/>
            <w:vMerge w:val="restart"/>
          </w:tcPr>
          <w:p w14:paraId="792A3A19">
            <w:pPr>
              <w:spacing w:line="360" w:lineRule="auto"/>
              <w:outlineLvl w:val="0"/>
              <w:rPr>
                <w:rFonts w:ascii="Times New Roman Regular" w:hAnsi="Times New Roman Regular" w:eastAsia="Songti SC Regular" w:cs="Times New Roman Regular"/>
                <w:sz w:val="15"/>
                <w:szCs w:val="15"/>
                <w:lang w:bidi="ar"/>
              </w:rPr>
            </w:pPr>
            <w:r>
              <w:rPr>
                <w:rFonts w:ascii="Times New Roman Regular" w:hAnsi="Times New Roman Regular" w:eastAsia="Songti SC Regular" w:cs="Times New Roman Regular"/>
                <w:sz w:val="15"/>
                <w:szCs w:val="15"/>
                <w:lang w:bidi="ar"/>
              </w:rPr>
              <w:t>2伤口护理</w:t>
            </w:r>
          </w:p>
        </w:tc>
        <w:tc>
          <w:tcPr>
            <w:tcW w:w="495" w:type="pct"/>
            <w:vMerge w:val="restart"/>
          </w:tcPr>
          <w:p w14:paraId="3DB8B6B2">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2.1环境及用物准备</w:t>
            </w:r>
          </w:p>
        </w:tc>
        <w:tc>
          <w:tcPr>
            <w:tcW w:w="4021" w:type="pct"/>
          </w:tcPr>
          <w:p w14:paraId="3FDD12F1">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2.1.1换药操作应在环境清洁、温湿度适宜（建议温度24℃-26℃，湿度55%-65%）的医疗区域进行。</w:t>
            </w:r>
          </w:p>
        </w:tc>
      </w:tr>
      <w:tr w14:paraId="63834E2F">
        <w:trPr>
          <w:trHeight w:val="90" w:hRule="atLeast"/>
        </w:trPr>
        <w:tc>
          <w:tcPr>
            <w:tcW w:w="483" w:type="pct"/>
            <w:vMerge w:val="continue"/>
          </w:tcPr>
          <w:p w14:paraId="4FEF567C">
            <w:pPr>
              <w:spacing w:line="360" w:lineRule="auto"/>
              <w:outlineLvl w:val="0"/>
              <w:rPr>
                <w:rFonts w:ascii="Times New Roman Regular" w:hAnsi="Times New Roman Regular" w:eastAsia="Songti SC Regular" w:cs="Times New Roman Regular"/>
                <w:sz w:val="15"/>
                <w:szCs w:val="15"/>
                <w:lang w:bidi="ar"/>
              </w:rPr>
            </w:pPr>
          </w:p>
        </w:tc>
        <w:tc>
          <w:tcPr>
            <w:tcW w:w="495" w:type="pct"/>
            <w:vMerge w:val="continue"/>
          </w:tcPr>
          <w:p w14:paraId="24651943">
            <w:pPr>
              <w:rPr>
                <w:rFonts w:ascii="Times New Roman Regular" w:hAnsi="Times New Roman Regular" w:eastAsia="Songti SC Regular" w:cs="Times New Roman Regular"/>
                <w:sz w:val="15"/>
                <w:szCs w:val="15"/>
              </w:rPr>
            </w:pPr>
          </w:p>
        </w:tc>
        <w:tc>
          <w:tcPr>
            <w:tcW w:w="4021" w:type="pct"/>
          </w:tcPr>
          <w:p w14:paraId="045C950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2.1.2确保所有物品（如无菌敷料、生理盐水、镊子、无菌剪刀等）已备齐并处于可用状态。</w:t>
            </w:r>
          </w:p>
        </w:tc>
      </w:tr>
      <w:tr w14:paraId="5F82678E">
        <w:trPr>
          <w:trHeight w:val="90" w:hRule="atLeast"/>
        </w:trPr>
        <w:tc>
          <w:tcPr>
            <w:tcW w:w="483" w:type="pct"/>
            <w:vMerge w:val="continue"/>
          </w:tcPr>
          <w:p w14:paraId="0D2C1FC2">
            <w:pPr>
              <w:rPr>
                <w:rFonts w:ascii="Times New Roman Regular" w:hAnsi="Times New Roman Regular" w:eastAsia="Songti SC Regular" w:cs="Times New Roman Regular"/>
                <w:b/>
                <w:bCs/>
                <w:sz w:val="15"/>
                <w:szCs w:val="15"/>
              </w:rPr>
            </w:pPr>
          </w:p>
        </w:tc>
        <w:tc>
          <w:tcPr>
            <w:tcW w:w="495" w:type="pct"/>
            <w:vMerge w:val="restart"/>
          </w:tcPr>
          <w:p w14:paraId="652E0ED1">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2.2 无菌操作</w:t>
            </w:r>
          </w:p>
        </w:tc>
        <w:tc>
          <w:tcPr>
            <w:tcW w:w="4021" w:type="pct"/>
          </w:tcPr>
          <w:p w14:paraId="7A614A87">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2.2.1换药过程中佩戴口罩；换药时手部直接接触伤口时，需佩戴无菌手套。</w:t>
            </w:r>
          </w:p>
        </w:tc>
      </w:tr>
      <w:tr w14:paraId="3B44A8F0">
        <w:trPr>
          <w:trHeight w:val="90" w:hRule="atLeast"/>
        </w:trPr>
        <w:tc>
          <w:tcPr>
            <w:tcW w:w="483" w:type="pct"/>
            <w:vMerge w:val="continue"/>
          </w:tcPr>
          <w:p w14:paraId="22FEB6A5">
            <w:pPr>
              <w:spacing w:line="360" w:lineRule="auto"/>
              <w:outlineLvl w:val="0"/>
              <w:rPr>
                <w:rFonts w:ascii="Times New Roman Regular" w:hAnsi="Times New Roman Regular" w:eastAsia="Songti SC Regular" w:cs="Times New Roman Regular"/>
                <w:sz w:val="15"/>
                <w:szCs w:val="15"/>
                <w:lang w:bidi="ar"/>
              </w:rPr>
            </w:pPr>
          </w:p>
        </w:tc>
        <w:tc>
          <w:tcPr>
            <w:tcW w:w="495" w:type="pct"/>
            <w:vMerge w:val="continue"/>
          </w:tcPr>
          <w:p w14:paraId="5EDF7464">
            <w:pPr>
              <w:rPr>
                <w:rFonts w:ascii="Times New Roman Regular" w:hAnsi="Times New Roman Regular" w:eastAsia="Songti SC Regular" w:cs="Times New Roman Regular"/>
                <w:b/>
                <w:bCs/>
                <w:sz w:val="15"/>
                <w:szCs w:val="15"/>
              </w:rPr>
            </w:pPr>
          </w:p>
        </w:tc>
        <w:tc>
          <w:tcPr>
            <w:tcW w:w="4021" w:type="pct"/>
          </w:tcPr>
          <w:p w14:paraId="3F41F44D">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2.2.2使用器械时应避免反复接触污染物或清洁皮肤表面，防止交叉污染。</w:t>
            </w:r>
          </w:p>
        </w:tc>
      </w:tr>
      <w:tr w14:paraId="60430EA0">
        <w:trPr>
          <w:trHeight w:val="90" w:hRule="atLeast"/>
        </w:trPr>
        <w:tc>
          <w:tcPr>
            <w:tcW w:w="483" w:type="pct"/>
            <w:vMerge w:val="continue"/>
          </w:tcPr>
          <w:p w14:paraId="026EE50C">
            <w:pPr>
              <w:spacing w:line="360" w:lineRule="auto"/>
              <w:outlineLvl w:val="0"/>
              <w:rPr>
                <w:rFonts w:ascii="Times New Roman Regular" w:hAnsi="Times New Roman Regular" w:eastAsia="Songti SC Regular" w:cs="Times New Roman Regular"/>
                <w:sz w:val="15"/>
                <w:szCs w:val="15"/>
                <w:lang w:bidi="ar"/>
              </w:rPr>
            </w:pPr>
          </w:p>
        </w:tc>
        <w:tc>
          <w:tcPr>
            <w:tcW w:w="495" w:type="pct"/>
          </w:tcPr>
          <w:p w14:paraId="72007FB0">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2.3伤口评估</w:t>
            </w:r>
          </w:p>
        </w:tc>
        <w:tc>
          <w:tcPr>
            <w:tcW w:w="4021" w:type="pct"/>
          </w:tcPr>
          <w:p w14:paraId="42CBBA85">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2.3.1应采用“伤口评估三角”（伤口床、伤口边缘、伤口周围皮肤）框架对伤口进行全面评估与记录。</w:t>
            </w:r>
          </w:p>
        </w:tc>
      </w:tr>
      <w:tr w14:paraId="49C8DB96">
        <w:trPr>
          <w:trHeight w:val="90" w:hRule="atLeast"/>
        </w:trPr>
        <w:tc>
          <w:tcPr>
            <w:tcW w:w="483" w:type="pct"/>
            <w:vMerge w:val="continue"/>
            <w:tcBorders>
              <w:bottom w:val="single" w:color="auto" w:sz="12" w:space="0"/>
            </w:tcBorders>
          </w:tcPr>
          <w:p w14:paraId="773604C7">
            <w:pPr>
              <w:rPr>
                <w:rFonts w:ascii="Times New Roman Regular" w:hAnsi="Times New Roman Regular" w:eastAsia="Songti SC Regular" w:cs="Times New Roman Regular"/>
                <w:sz w:val="15"/>
                <w:szCs w:val="15"/>
              </w:rPr>
            </w:pPr>
          </w:p>
        </w:tc>
        <w:tc>
          <w:tcPr>
            <w:tcW w:w="495" w:type="pct"/>
            <w:vMerge w:val="restart"/>
            <w:tcBorders>
              <w:bottom w:val="single" w:color="auto" w:sz="12" w:space="0"/>
            </w:tcBorders>
          </w:tcPr>
          <w:p w14:paraId="3C5640F1">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2.4清洁与清创</w:t>
            </w:r>
          </w:p>
        </w:tc>
        <w:tc>
          <w:tcPr>
            <w:tcW w:w="4021" w:type="pct"/>
          </w:tcPr>
          <w:p w14:paraId="7AC0BF1D">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2.4.1应使用低毒性温热溶液（如生理盐水、无菌注射水、生理盐水加液体石蜡）脉冲式清洗伤口。</w:t>
            </w:r>
          </w:p>
        </w:tc>
      </w:tr>
      <w:tr w14:paraId="6D9D1272">
        <w:trPr>
          <w:trHeight w:val="464" w:hRule="atLeast"/>
        </w:trPr>
        <w:tc>
          <w:tcPr>
            <w:tcW w:w="483" w:type="pct"/>
            <w:vMerge w:val="continue"/>
            <w:tcBorders>
              <w:top w:val="single" w:color="auto" w:sz="12" w:space="0"/>
              <w:bottom w:val="single" w:color="auto" w:sz="12" w:space="0"/>
            </w:tcBorders>
          </w:tcPr>
          <w:p w14:paraId="42260ABD">
            <w:pPr>
              <w:rPr>
                <w:rFonts w:ascii="Times New Roman Regular" w:hAnsi="Times New Roman Regular" w:eastAsia="Songti SC Regular" w:cs="Times New Roman Regular"/>
                <w:sz w:val="15"/>
                <w:szCs w:val="15"/>
              </w:rPr>
            </w:pPr>
          </w:p>
        </w:tc>
        <w:tc>
          <w:tcPr>
            <w:tcW w:w="495" w:type="pct"/>
            <w:vMerge w:val="continue"/>
            <w:tcBorders>
              <w:top w:val="single" w:color="auto" w:sz="12" w:space="0"/>
              <w:bottom w:val="single" w:color="auto" w:sz="12" w:space="0"/>
            </w:tcBorders>
          </w:tcPr>
          <w:p w14:paraId="5E843005">
            <w:pPr>
              <w:rPr>
                <w:rFonts w:ascii="Times New Roman Regular" w:hAnsi="Times New Roman Regular" w:eastAsia="Songti SC Regular" w:cs="Times New Roman Regular"/>
                <w:sz w:val="15"/>
                <w:szCs w:val="15"/>
              </w:rPr>
            </w:pPr>
          </w:p>
        </w:tc>
        <w:tc>
          <w:tcPr>
            <w:tcW w:w="4021" w:type="pct"/>
            <w:tcBorders>
              <w:bottom w:val="single" w:color="auto" w:sz="12" w:space="0"/>
            </w:tcBorders>
          </w:tcPr>
          <w:p w14:paraId="16F3289E">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2.4.2经评估后无感染的伤口可直接使用生理盐水等进行清洁，严重细菌定植的伤口或感染的伤口需使用含有PHMB的清洗溶液对伤口进行湿敷后再处理。含有PHMB的清洗溶液不适用于新生儿。</w:t>
            </w:r>
          </w:p>
        </w:tc>
      </w:tr>
    </w:tbl>
    <w:tbl>
      <w:tblPr>
        <w:tblStyle w:val="2"/>
        <w:tblpPr w:leftFromText="180" w:rightFromText="180" w:vertAnchor="text" w:horzAnchor="page" w:tblpX="1983" w:tblpY="129"/>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2"/>
        <w:gridCol w:w="844"/>
        <w:gridCol w:w="6853"/>
      </w:tblGrid>
      <w:tr w14:paraId="19AC43B9">
        <w:tc>
          <w:tcPr>
            <w:tcW w:w="483" w:type="pct"/>
            <w:tcBorders>
              <w:top w:val="single" w:color="auto" w:sz="12" w:space="0"/>
              <w:bottom w:val="single" w:color="auto" w:sz="6" w:space="0"/>
            </w:tcBorders>
            <w:shd w:val="clear" w:color="auto" w:fill="auto"/>
            <w:vAlign w:val="top"/>
          </w:tcPr>
          <w:p w14:paraId="1F60F88D">
            <w:pPr>
              <w:spacing w:line="360" w:lineRule="auto"/>
              <w:rPr>
                <w:rFonts w:ascii="Times New Roman Regular" w:hAnsi="Times New Roman Regular" w:eastAsia="Songti SC Regular" w:cs="Times New Roman Regular"/>
                <w:kern w:val="2"/>
                <w:sz w:val="15"/>
                <w:szCs w:val="15"/>
                <w:lang w:val="en-US" w:eastAsia="zh-CN" w:bidi="ar-SA"/>
              </w:rPr>
            </w:pPr>
            <w:r>
              <w:rPr>
                <w:rFonts w:ascii="Times New Roman Regular" w:hAnsi="Times New Roman Regular" w:eastAsia="Songti SC Regular" w:cs="Times New Roman Regular"/>
                <w:sz w:val="15"/>
                <w:szCs w:val="15"/>
              </w:rPr>
              <w:t>一级条目</w:t>
            </w:r>
          </w:p>
        </w:tc>
        <w:tc>
          <w:tcPr>
            <w:tcW w:w="495" w:type="pct"/>
            <w:tcBorders>
              <w:top w:val="single" w:color="auto" w:sz="12" w:space="0"/>
              <w:bottom w:val="single" w:color="auto" w:sz="6" w:space="0"/>
            </w:tcBorders>
            <w:shd w:val="clear" w:color="auto" w:fill="auto"/>
            <w:vAlign w:val="top"/>
          </w:tcPr>
          <w:p w14:paraId="01D33D2F">
            <w:pPr>
              <w:spacing w:line="360" w:lineRule="auto"/>
              <w:rPr>
                <w:rFonts w:ascii="Times New Roman Regular" w:hAnsi="Times New Roman Regular" w:eastAsia="Songti SC Regular" w:cs="Times New Roman Regular"/>
                <w:color w:val="000000"/>
                <w:kern w:val="0"/>
                <w:sz w:val="15"/>
                <w:szCs w:val="15"/>
                <w:lang w:val="en-US" w:eastAsia="zh-CN" w:bidi="ar-SA"/>
              </w:rPr>
            </w:pPr>
            <w:r>
              <w:rPr>
                <w:rFonts w:ascii="Times New Roman Regular" w:hAnsi="Times New Roman Regular" w:eastAsia="Songti SC Regular" w:cs="Times New Roman Regular"/>
                <w:sz w:val="15"/>
                <w:szCs w:val="15"/>
              </w:rPr>
              <w:t>二级条目</w:t>
            </w:r>
          </w:p>
        </w:tc>
        <w:tc>
          <w:tcPr>
            <w:tcW w:w="4021" w:type="pct"/>
            <w:tcBorders>
              <w:top w:val="single" w:color="auto" w:sz="12" w:space="0"/>
              <w:bottom w:val="single" w:color="auto" w:sz="6" w:space="0"/>
            </w:tcBorders>
            <w:shd w:val="clear" w:color="auto" w:fill="auto"/>
            <w:vAlign w:val="top"/>
          </w:tcPr>
          <w:p w14:paraId="431014F0">
            <w:pPr>
              <w:spacing w:line="360" w:lineRule="auto"/>
              <w:rPr>
                <w:rFonts w:ascii="Times New Roman Regular" w:hAnsi="Times New Roman Regular" w:eastAsia="Songti SC Regular" w:cs="Times New Roman Regular"/>
                <w:color w:val="000000"/>
                <w:kern w:val="0"/>
                <w:sz w:val="15"/>
                <w:szCs w:val="15"/>
                <w:lang w:val="en-US" w:eastAsia="zh-CN" w:bidi="ar-SA"/>
              </w:rPr>
            </w:pPr>
            <w:r>
              <w:rPr>
                <w:rFonts w:ascii="Times New Roman Regular" w:hAnsi="Times New Roman Regular" w:eastAsia="Songti SC Regular" w:cs="Times New Roman Regular"/>
                <w:sz w:val="15"/>
                <w:szCs w:val="15"/>
              </w:rPr>
              <w:t>三级条目</w:t>
            </w:r>
          </w:p>
        </w:tc>
      </w:tr>
      <w:tr w14:paraId="36DC2DAC">
        <w:tc>
          <w:tcPr>
            <w:tcW w:w="483" w:type="pct"/>
            <w:vMerge w:val="restart"/>
            <w:tcBorders>
              <w:top w:val="single" w:color="auto" w:sz="6" w:space="0"/>
            </w:tcBorders>
          </w:tcPr>
          <w:p w14:paraId="6E20701F">
            <w:pPr>
              <w:spacing w:line="360" w:lineRule="auto"/>
              <w:outlineLvl w:val="0"/>
              <w:rPr>
                <w:rFonts w:ascii="Times New Roman Regular" w:hAnsi="Times New Roman Regular" w:eastAsia="Songti SC Regular" w:cs="Times New Roman Regular"/>
                <w:sz w:val="15"/>
                <w:szCs w:val="15"/>
                <w:lang w:bidi="ar"/>
              </w:rPr>
            </w:pPr>
          </w:p>
        </w:tc>
        <w:tc>
          <w:tcPr>
            <w:tcW w:w="495" w:type="pct"/>
            <w:tcBorders>
              <w:top w:val="single" w:color="auto" w:sz="6" w:space="0"/>
            </w:tcBorders>
          </w:tcPr>
          <w:p w14:paraId="3D317371">
            <w:pPr>
              <w:rPr>
                <w:rFonts w:ascii="Times New Roman Regular" w:hAnsi="Times New Roman Regular" w:eastAsia="Songti SC Regular" w:cs="Times New Roman Regular"/>
                <w:sz w:val="15"/>
                <w:szCs w:val="15"/>
              </w:rPr>
            </w:pPr>
          </w:p>
        </w:tc>
        <w:tc>
          <w:tcPr>
            <w:tcW w:w="4021" w:type="pct"/>
            <w:tcBorders>
              <w:top w:val="single" w:color="auto" w:sz="6" w:space="0"/>
            </w:tcBorders>
          </w:tcPr>
          <w:p w14:paraId="39019924">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2.4.3使用水凝胶敷料及时清除伤口周围的结痂及腐肉，切勿强行除痂。</w:t>
            </w:r>
          </w:p>
        </w:tc>
      </w:tr>
      <w:tr w14:paraId="720EF532">
        <w:tc>
          <w:tcPr>
            <w:tcW w:w="483" w:type="pct"/>
            <w:vMerge w:val="continue"/>
          </w:tcPr>
          <w:p w14:paraId="025992FF">
            <w:pPr>
              <w:rPr>
                <w:rFonts w:ascii="Times New Roman Regular" w:hAnsi="Times New Roman Regular" w:eastAsia="Songti SC Regular" w:cs="Times New Roman Regular"/>
                <w:sz w:val="15"/>
                <w:szCs w:val="15"/>
              </w:rPr>
            </w:pPr>
          </w:p>
        </w:tc>
        <w:tc>
          <w:tcPr>
            <w:tcW w:w="495" w:type="pct"/>
            <w:vMerge w:val="restart"/>
          </w:tcPr>
          <w:p w14:paraId="66F2B433">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2.5水疱处理</w:t>
            </w:r>
          </w:p>
        </w:tc>
        <w:tc>
          <w:tcPr>
            <w:tcW w:w="4021" w:type="pct"/>
          </w:tcPr>
          <w:p w14:paraId="020EE341">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2.5.1所有水疱均应刺破。可从最低点用无菌针头贯穿刺破水疱保留水疱表皮覆盖以保护创面。</w:t>
            </w:r>
          </w:p>
        </w:tc>
      </w:tr>
      <w:tr w14:paraId="3B52D19E">
        <w:tc>
          <w:tcPr>
            <w:tcW w:w="483" w:type="pct"/>
            <w:vMerge w:val="continue"/>
          </w:tcPr>
          <w:p w14:paraId="7EAFD02F">
            <w:pPr>
              <w:spacing w:line="360" w:lineRule="auto"/>
              <w:outlineLvl w:val="0"/>
              <w:rPr>
                <w:rFonts w:ascii="Times New Roman Regular" w:hAnsi="Times New Roman Regular" w:eastAsia="Songti SC Regular" w:cs="Times New Roman Regular"/>
                <w:sz w:val="15"/>
                <w:szCs w:val="15"/>
                <w:lang w:bidi="ar"/>
              </w:rPr>
            </w:pPr>
          </w:p>
        </w:tc>
        <w:tc>
          <w:tcPr>
            <w:tcW w:w="495" w:type="pct"/>
            <w:vMerge w:val="continue"/>
          </w:tcPr>
          <w:p w14:paraId="6FCDC160">
            <w:pPr>
              <w:rPr>
                <w:rFonts w:ascii="Times New Roman Regular" w:hAnsi="Times New Roman Regular" w:eastAsia="Songti SC Regular" w:cs="Times New Roman Regular"/>
                <w:sz w:val="15"/>
                <w:szCs w:val="15"/>
              </w:rPr>
            </w:pPr>
          </w:p>
        </w:tc>
        <w:tc>
          <w:tcPr>
            <w:tcW w:w="4021" w:type="pct"/>
          </w:tcPr>
          <w:p w14:paraId="4841EAAC">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 2.5.2对于大水疱可使用无菌针头十字对穿、多处刺破或使用无菌剪刀剪出较大孔洞后纱布按压或注射器抽吸排空疱液，可略微加压包扎，及时观察是否再次产生水疱。</w:t>
            </w:r>
          </w:p>
        </w:tc>
      </w:tr>
      <w:tr w14:paraId="46C38CBE">
        <w:tc>
          <w:tcPr>
            <w:tcW w:w="483" w:type="pct"/>
            <w:vMerge w:val="continue"/>
          </w:tcPr>
          <w:p w14:paraId="2978140B">
            <w:pPr>
              <w:rPr>
                <w:rFonts w:ascii="Times New Roman Regular" w:hAnsi="Times New Roman Regular" w:eastAsia="Songti SC Regular" w:cs="Times New Roman Regular"/>
                <w:sz w:val="15"/>
                <w:szCs w:val="15"/>
              </w:rPr>
            </w:pPr>
          </w:p>
        </w:tc>
        <w:tc>
          <w:tcPr>
            <w:tcW w:w="495" w:type="pct"/>
            <w:vMerge w:val="restart"/>
          </w:tcPr>
          <w:p w14:paraId="445E7FA4">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2.6敷料选择与应用</w:t>
            </w:r>
          </w:p>
        </w:tc>
        <w:tc>
          <w:tcPr>
            <w:tcW w:w="4021" w:type="pct"/>
          </w:tcPr>
          <w:p w14:paraId="76BBF6C5">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2.6.1对直接接触伤口的敷料应选择柔软、非粘性、透气及吸收渗液能力强的敷料。</w:t>
            </w:r>
          </w:p>
        </w:tc>
      </w:tr>
      <w:tr w14:paraId="36DA4CF4">
        <w:tc>
          <w:tcPr>
            <w:tcW w:w="483" w:type="pct"/>
            <w:vMerge w:val="continue"/>
          </w:tcPr>
          <w:p w14:paraId="5FED94AB">
            <w:pPr>
              <w:rPr>
                <w:rFonts w:ascii="Times New Roman Regular" w:hAnsi="Times New Roman Regular" w:eastAsia="Songti SC Regular" w:cs="Times New Roman Regular"/>
                <w:sz w:val="15"/>
                <w:szCs w:val="15"/>
              </w:rPr>
            </w:pPr>
          </w:p>
        </w:tc>
        <w:tc>
          <w:tcPr>
            <w:tcW w:w="495" w:type="pct"/>
            <w:vMerge w:val="continue"/>
          </w:tcPr>
          <w:p w14:paraId="33E37E24">
            <w:pPr>
              <w:rPr>
                <w:rFonts w:ascii="Times New Roman Regular" w:hAnsi="Times New Roman Regular" w:eastAsia="Songti SC Regular" w:cs="Times New Roman Regular"/>
                <w:sz w:val="15"/>
                <w:szCs w:val="15"/>
              </w:rPr>
            </w:pPr>
          </w:p>
        </w:tc>
        <w:tc>
          <w:tcPr>
            <w:tcW w:w="4021" w:type="pct"/>
          </w:tcPr>
          <w:p w14:paraId="2F381857">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2.6.2可根据伤口部位提前裁剪至合适形状，其大小宜超出伤口边缘1-2cm。</w:t>
            </w:r>
          </w:p>
        </w:tc>
      </w:tr>
      <w:tr w14:paraId="41CDDE29">
        <w:tc>
          <w:tcPr>
            <w:tcW w:w="483" w:type="pct"/>
            <w:vMerge w:val="continue"/>
          </w:tcPr>
          <w:p w14:paraId="5BC9C70B">
            <w:pPr>
              <w:spacing w:line="360" w:lineRule="auto"/>
              <w:outlineLvl w:val="0"/>
              <w:rPr>
                <w:rFonts w:ascii="Times New Roman Regular" w:hAnsi="Times New Roman Regular" w:eastAsia="Songti SC Regular" w:cs="Times New Roman Regular"/>
                <w:sz w:val="15"/>
                <w:szCs w:val="15"/>
                <w:lang w:bidi="ar"/>
              </w:rPr>
            </w:pPr>
          </w:p>
        </w:tc>
        <w:tc>
          <w:tcPr>
            <w:tcW w:w="495" w:type="pct"/>
            <w:vMerge w:val="continue"/>
          </w:tcPr>
          <w:p w14:paraId="6187F9E4">
            <w:pPr>
              <w:rPr>
                <w:rFonts w:ascii="Times New Roman Regular" w:hAnsi="Times New Roman Regular" w:eastAsia="Songti SC Regular" w:cs="Times New Roman Regular"/>
                <w:sz w:val="15"/>
                <w:szCs w:val="15"/>
              </w:rPr>
            </w:pPr>
          </w:p>
        </w:tc>
        <w:tc>
          <w:tcPr>
            <w:tcW w:w="4021" w:type="pct"/>
          </w:tcPr>
          <w:p w14:paraId="1119BEC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2.6.3大面积伤口需要整块敷料，应确保敷料无褶皱，若连接处或边缘摩擦，可采用叠瓦片或亲水纤维敷料保护，避免敷料边缘引发新的水疱。</w:t>
            </w:r>
          </w:p>
        </w:tc>
      </w:tr>
      <w:tr w14:paraId="78660032">
        <w:tc>
          <w:tcPr>
            <w:tcW w:w="483" w:type="pct"/>
            <w:vMerge w:val="continue"/>
          </w:tcPr>
          <w:p w14:paraId="19F87B1C">
            <w:pPr>
              <w:rPr>
                <w:rFonts w:ascii="Times New Roman Regular" w:hAnsi="Times New Roman Regular" w:eastAsia="Songti SC Regular" w:cs="Times New Roman Regular"/>
                <w:sz w:val="15"/>
                <w:szCs w:val="15"/>
              </w:rPr>
            </w:pPr>
          </w:p>
        </w:tc>
        <w:tc>
          <w:tcPr>
            <w:tcW w:w="495" w:type="pct"/>
            <w:vMerge w:val="restart"/>
          </w:tcPr>
          <w:p w14:paraId="66795BE6">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2.7伤口包扎</w:t>
            </w:r>
          </w:p>
        </w:tc>
        <w:tc>
          <w:tcPr>
            <w:tcW w:w="4021" w:type="pct"/>
          </w:tcPr>
          <w:p w14:paraId="294B04CE">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2.7.1包扎前应使用不粘敷料覆盖伤口及水疱处，并在周围完整的皮肤表面涂抹油性润肤剂保护皮肤，后使用弹力绷带进行固定，固定松紧适宜，避免敷料移位牵拉皮肤，切勿直接使用胶带黏连皮肤。</w:t>
            </w:r>
          </w:p>
        </w:tc>
      </w:tr>
      <w:tr w14:paraId="7E76A9EE">
        <w:tc>
          <w:tcPr>
            <w:tcW w:w="483" w:type="pct"/>
            <w:vMerge w:val="continue"/>
          </w:tcPr>
          <w:p w14:paraId="22691F6E">
            <w:pPr>
              <w:spacing w:line="360" w:lineRule="auto"/>
              <w:outlineLvl w:val="0"/>
              <w:rPr>
                <w:rFonts w:ascii="Times New Roman Regular" w:hAnsi="Times New Roman Regular" w:eastAsia="Songti SC Regular" w:cs="Times New Roman Regular"/>
                <w:sz w:val="15"/>
                <w:szCs w:val="15"/>
                <w:lang w:bidi="ar"/>
              </w:rPr>
            </w:pPr>
          </w:p>
        </w:tc>
        <w:tc>
          <w:tcPr>
            <w:tcW w:w="495" w:type="pct"/>
            <w:vMerge w:val="continue"/>
          </w:tcPr>
          <w:p w14:paraId="14C73971">
            <w:pPr>
              <w:rPr>
                <w:rFonts w:ascii="Times New Roman Regular" w:hAnsi="Times New Roman Regular" w:eastAsia="Songti SC Regular" w:cs="Times New Roman Regular"/>
                <w:sz w:val="15"/>
                <w:szCs w:val="15"/>
              </w:rPr>
            </w:pPr>
          </w:p>
        </w:tc>
        <w:tc>
          <w:tcPr>
            <w:tcW w:w="4021" w:type="pct"/>
          </w:tcPr>
          <w:p w14:paraId="5E7BAB44">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2.7.2包扎后应及时观察皮肤颜色和末梢循环，注意检查边缘区域是否红肿、形成水疱。</w:t>
            </w:r>
          </w:p>
        </w:tc>
      </w:tr>
      <w:tr w14:paraId="31976DFD">
        <w:tc>
          <w:tcPr>
            <w:tcW w:w="483" w:type="pct"/>
            <w:vMerge w:val="continue"/>
          </w:tcPr>
          <w:p w14:paraId="2C23B71E">
            <w:pPr>
              <w:rPr>
                <w:rFonts w:ascii="Times New Roman Regular" w:hAnsi="Times New Roman Regular" w:eastAsia="Songti SC Regular" w:cs="Times New Roman Regular"/>
                <w:sz w:val="15"/>
                <w:szCs w:val="15"/>
              </w:rPr>
            </w:pPr>
          </w:p>
        </w:tc>
        <w:tc>
          <w:tcPr>
            <w:tcW w:w="495" w:type="pct"/>
            <w:vMerge w:val="restart"/>
          </w:tcPr>
          <w:p w14:paraId="0B74ECEA">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2.8特殊伤口处理</w:t>
            </w:r>
          </w:p>
        </w:tc>
        <w:tc>
          <w:tcPr>
            <w:tcW w:w="4021" w:type="pct"/>
          </w:tcPr>
          <w:p w14:paraId="55237683">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2.8.1对于符合3个及以上 NERDS  标准细菌严重定植的伤口，可遵医嘱通过外⽤药物来减少细菌负荷，包括使用稀释的次氯酸钠清洁伤口或外⽤抗菌剂（如括氯⼰定、苯扎氯铵、莫匹罗星、含银敷料等），并密切观察换药后3-5日的变化。其中使用含银敷料不宜超过2-4周。</w:t>
            </w:r>
          </w:p>
        </w:tc>
      </w:tr>
      <w:tr w14:paraId="65F6D4E0">
        <w:tc>
          <w:tcPr>
            <w:tcW w:w="483" w:type="pct"/>
            <w:vMerge w:val="continue"/>
          </w:tcPr>
          <w:p w14:paraId="27F4DE5B">
            <w:pPr>
              <w:rPr>
                <w:rFonts w:ascii="Times New Roman Regular" w:hAnsi="Times New Roman Regular" w:eastAsia="Songti SC Regular" w:cs="Times New Roman Regular"/>
                <w:sz w:val="15"/>
                <w:szCs w:val="15"/>
              </w:rPr>
            </w:pPr>
          </w:p>
        </w:tc>
        <w:tc>
          <w:tcPr>
            <w:tcW w:w="495" w:type="pct"/>
            <w:vMerge w:val="continue"/>
          </w:tcPr>
          <w:p w14:paraId="7D9D54C0">
            <w:pPr>
              <w:rPr>
                <w:rFonts w:ascii="Times New Roman Regular" w:hAnsi="Times New Roman Regular" w:eastAsia="Songti SC Regular" w:cs="Times New Roman Regular"/>
                <w:sz w:val="15"/>
                <w:szCs w:val="15"/>
              </w:rPr>
            </w:pPr>
          </w:p>
        </w:tc>
        <w:tc>
          <w:tcPr>
            <w:tcW w:w="4021" w:type="pct"/>
          </w:tcPr>
          <w:p w14:paraId="64107CB0">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2.8.2对于符合3个及以上</w:t>
            </w:r>
            <w:r>
              <w:rPr>
                <w:rFonts w:ascii="Times New Roman Regular" w:hAnsi="Times New Roman Regular" w:eastAsia="Songti SC Regular" w:cs="Times New Roman Regular"/>
                <w:sz w:val="15"/>
                <w:szCs w:val="15"/>
                <w:highlight w:val="none"/>
                <w:lang w:bidi="ar"/>
              </w:rPr>
              <w:t> STONEES</w:t>
            </w:r>
            <w:r>
              <w:rPr>
                <w:rFonts w:hint="eastAsia" w:ascii="Times New Roman Regular" w:hAnsi="Times New Roman Regular" w:eastAsia="Songti SC Regular" w:cs="Times New Roman Regular"/>
                <w:sz w:val="15"/>
                <w:szCs w:val="15"/>
                <w:lang w:bidi="ar"/>
              </w:rPr>
              <w:t> 标准</w:t>
            </w:r>
            <w:r>
              <w:rPr>
                <w:rFonts w:ascii="Times New Roman Regular" w:hAnsi="Times New Roman Regular" w:eastAsia="Songti SC Regular" w:cs="Times New Roman Regular"/>
                <w:sz w:val="15"/>
                <w:szCs w:val="15"/>
                <w:lang w:bidi="ar"/>
              </w:rPr>
              <w:t>并伴有全身症状的伤口，应高度警惕伤口感染已扩展至深层组织，应根据需要进行局部和全身抗感染治疗或住院治疗。</w:t>
            </w:r>
          </w:p>
        </w:tc>
      </w:tr>
      <w:tr w14:paraId="6BE88253">
        <w:tc>
          <w:tcPr>
            <w:tcW w:w="483" w:type="pct"/>
            <w:vMerge w:val="continue"/>
          </w:tcPr>
          <w:p w14:paraId="7810ADE6">
            <w:pPr>
              <w:rPr>
                <w:rFonts w:ascii="Times New Roman Regular" w:hAnsi="Times New Roman Regular" w:eastAsia="Songti SC Regular" w:cs="Times New Roman Regular"/>
                <w:sz w:val="15"/>
                <w:szCs w:val="15"/>
              </w:rPr>
            </w:pPr>
          </w:p>
        </w:tc>
        <w:tc>
          <w:tcPr>
            <w:tcW w:w="495" w:type="pct"/>
            <w:vMerge w:val="continue"/>
          </w:tcPr>
          <w:p w14:paraId="161A8336">
            <w:pPr>
              <w:rPr>
                <w:rFonts w:ascii="Times New Roman Regular" w:hAnsi="Times New Roman Regular" w:eastAsia="Songti SC Regular" w:cs="Times New Roman Regular"/>
                <w:sz w:val="15"/>
                <w:szCs w:val="15"/>
              </w:rPr>
            </w:pPr>
          </w:p>
        </w:tc>
        <w:tc>
          <w:tcPr>
            <w:tcW w:w="4021" w:type="pct"/>
          </w:tcPr>
          <w:p w14:paraId="0D1D6937">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2.8.3合理使⽤外⽤抗⽣素（如莫匹罗星或夫西地酸），使用时应每2-6周轮换不同的药物。</w:t>
            </w:r>
          </w:p>
        </w:tc>
      </w:tr>
      <w:tr w14:paraId="1959FABB">
        <w:tc>
          <w:tcPr>
            <w:tcW w:w="483" w:type="pct"/>
            <w:vMerge w:val="continue"/>
            <w:tcBorders>
              <w:bottom w:val="nil"/>
            </w:tcBorders>
          </w:tcPr>
          <w:p w14:paraId="25B3214E">
            <w:pPr>
              <w:rPr>
                <w:rFonts w:ascii="Times New Roman Regular" w:hAnsi="Times New Roman Regular" w:eastAsia="Songti SC Regular" w:cs="Times New Roman Regular"/>
                <w:sz w:val="15"/>
                <w:szCs w:val="15"/>
              </w:rPr>
            </w:pPr>
          </w:p>
        </w:tc>
        <w:tc>
          <w:tcPr>
            <w:tcW w:w="495" w:type="pct"/>
            <w:vMerge w:val="continue"/>
            <w:tcBorders>
              <w:bottom w:val="nil"/>
            </w:tcBorders>
          </w:tcPr>
          <w:p w14:paraId="21E0A080">
            <w:pPr>
              <w:rPr>
                <w:rFonts w:ascii="Times New Roman Regular" w:hAnsi="Times New Roman Regular" w:eastAsia="Songti SC Regular" w:cs="Times New Roman Regular"/>
                <w:sz w:val="15"/>
                <w:szCs w:val="15"/>
              </w:rPr>
            </w:pPr>
          </w:p>
        </w:tc>
        <w:tc>
          <w:tcPr>
            <w:tcW w:w="4021" w:type="pct"/>
            <w:tcBorders>
              <w:bottom w:val="nil"/>
            </w:tcBorders>
          </w:tcPr>
          <w:p w14:paraId="7B59C3A8">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2.8.4重型EB患者，如重度、泛发性隐性遗</w:t>
            </w:r>
            <w:r>
              <w:rPr>
                <w:rFonts w:hint="eastAsia" w:ascii="Times New Roman Regular" w:hAnsi="Times New Roman Regular" w:eastAsia="Songti SC Regular" w:cs="Times New Roman Regular"/>
                <w:sz w:val="15"/>
                <w:szCs w:val="15"/>
                <w:lang w:bidi="ar"/>
              </w:rPr>
              <w:t>传</w:t>
            </w:r>
            <w:r>
              <w:rPr>
                <w:rFonts w:hint="eastAsia" w:ascii="Times New Roman Regular" w:hAnsi="Times New Roman Regular" w:eastAsia="Songti SC Regular" w:cs="Times New Roman Regular"/>
                <w:sz w:val="15"/>
                <w:szCs w:val="15"/>
                <w:highlight w:val="none"/>
                <w:lang w:bidi="ar"/>
              </w:rPr>
              <w:t>DEB或JEB</w:t>
            </w:r>
            <w:r>
              <w:rPr>
                <w:rFonts w:hint="eastAsia" w:ascii="Times New Roman Regular" w:hAnsi="Times New Roman Regular" w:eastAsia="Songti SC Regular" w:cs="Times New Roman Regular"/>
                <w:sz w:val="15"/>
                <w:szCs w:val="15"/>
                <w:lang w:bidi="ar"/>
              </w:rPr>
              <w:t>在</w:t>
            </w:r>
            <w:r>
              <w:rPr>
                <w:rFonts w:ascii="Times New Roman Regular" w:hAnsi="Times New Roman Regular" w:eastAsia="Songti SC Regular" w:cs="Times New Roman Regular"/>
                <w:sz w:val="15"/>
                <w:szCs w:val="15"/>
                <w:lang w:bidi="ar"/>
              </w:rPr>
              <w:t>年龄的增长的同时，易发生鳞状细胞癌。判断标准如下：1. 超过4周不愈合的伤口；2. 迅速长大、隆起的伤口；3. 疼痛性质改变的伤口。</w:t>
            </w:r>
          </w:p>
        </w:tc>
      </w:tr>
      <w:tr w14:paraId="0CE4B259">
        <w:tc>
          <w:tcPr>
            <w:tcW w:w="483" w:type="pct"/>
            <w:vMerge w:val="restart"/>
            <w:tcBorders>
              <w:top w:val="nil"/>
            </w:tcBorders>
          </w:tcPr>
          <w:p w14:paraId="2EF264CF">
            <w:pPr>
              <w:spacing w:line="360" w:lineRule="auto"/>
              <w:rPr>
                <w:rFonts w:ascii="Times New Roman Regular" w:hAnsi="Times New Roman Regular" w:eastAsia="Songti SC Regular" w:cs="Times New Roman Regular"/>
                <w:sz w:val="15"/>
                <w:szCs w:val="15"/>
                <w:lang w:bidi="ar"/>
              </w:rPr>
            </w:pPr>
            <w:r>
              <w:rPr>
                <w:rFonts w:ascii="Times New Roman Regular" w:hAnsi="Times New Roman Regular" w:eastAsia="Songti SC Regular" w:cs="Times New Roman Regular"/>
                <w:sz w:val="15"/>
                <w:szCs w:val="15"/>
                <w:lang w:bidi="ar"/>
              </w:rPr>
              <w:t>3特殊部位护理</w:t>
            </w:r>
          </w:p>
        </w:tc>
        <w:tc>
          <w:tcPr>
            <w:tcW w:w="495" w:type="pct"/>
            <w:vMerge w:val="restart"/>
            <w:tcBorders>
              <w:top w:val="nil"/>
            </w:tcBorders>
          </w:tcPr>
          <w:p w14:paraId="23EF1A23">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3.1眼部护理</w:t>
            </w:r>
          </w:p>
        </w:tc>
        <w:tc>
          <w:tcPr>
            <w:tcW w:w="4021" w:type="pct"/>
            <w:tcBorders>
              <w:top w:val="nil"/>
            </w:tcBorders>
          </w:tcPr>
          <w:p w14:paraId="58D1AC2A">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3.1.1对于出现眼部刺激症状的患者，</w:t>
            </w:r>
            <w:r>
              <w:rPr>
                <w:rFonts w:ascii="Times New Roman Regular" w:hAnsi="Times New Roman Regular" w:eastAsia="Songti SC Regular" w:cs="Times New Roman Regular"/>
                <w:sz w:val="15"/>
                <w:szCs w:val="15"/>
                <w:highlight w:val="none"/>
                <w:lang w:bidi="ar"/>
              </w:rPr>
              <w:t>应评估</w:t>
            </w:r>
            <w:r>
              <w:rPr>
                <w:rFonts w:hint="eastAsia" w:ascii="Times New Roman Regular" w:hAnsi="Times New Roman Regular" w:eastAsia="Songti SC Regular" w:cs="Times New Roman Regular"/>
                <w:sz w:val="15"/>
                <w:szCs w:val="15"/>
                <w:highlight w:val="none"/>
                <w:lang w:bidi="ar"/>
              </w:rPr>
              <w:t>后</w:t>
            </w:r>
            <w:r>
              <w:rPr>
                <w:rFonts w:ascii="Times New Roman Regular" w:hAnsi="Times New Roman Regular" w:eastAsia="Songti SC Regular" w:cs="Times New Roman Regular"/>
                <w:sz w:val="15"/>
                <w:szCs w:val="15"/>
                <w:highlight w:val="none"/>
                <w:lang w:bidi="ar"/>
              </w:rPr>
              <w:t>遵医嘱使用不含防</w:t>
            </w:r>
            <w:r>
              <w:rPr>
                <w:rFonts w:ascii="Times New Roman Regular" w:hAnsi="Times New Roman Regular" w:eastAsia="Songti SC Regular" w:cs="Times New Roman Regular"/>
                <w:sz w:val="15"/>
                <w:szCs w:val="15"/>
                <w:lang w:bidi="ar"/>
              </w:rPr>
              <w:t>腐剂的人工泪液、眼膏或绷带型角膜接触镜（绷带镜），以减轻摩擦所致的角膜损伤。</w:t>
            </w:r>
          </w:p>
        </w:tc>
      </w:tr>
      <w:tr w14:paraId="718D55D3">
        <w:tc>
          <w:tcPr>
            <w:tcW w:w="483" w:type="pct"/>
            <w:vMerge w:val="continue"/>
          </w:tcPr>
          <w:p w14:paraId="212FFF36">
            <w:pPr>
              <w:spacing w:line="360" w:lineRule="auto"/>
              <w:rPr>
                <w:rFonts w:ascii="Times New Roman Regular" w:hAnsi="Times New Roman Regular" w:eastAsia="Songti SC Regular" w:cs="Times New Roman Regular"/>
                <w:sz w:val="15"/>
                <w:szCs w:val="15"/>
              </w:rPr>
            </w:pPr>
          </w:p>
        </w:tc>
        <w:tc>
          <w:tcPr>
            <w:tcW w:w="495" w:type="pct"/>
            <w:vMerge w:val="continue"/>
          </w:tcPr>
          <w:p w14:paraId="291A7F50">
            <w:pPr>
              <w:spacing w:line="360" w:lineRule="auto"/>
              <w:rPr>
                <w:rFonts w:ascii="Times New Roman Regular" w:hAnsi="Times New Roman Regular" w:eastAsia="Songti SC Regular" w:cs="Times New Roman Regular"/>
                <w:sz w:val="15"/>
                <w:szCs w:val="15"/>
              </w:rPr>
            </w:pPr>
          </w:p>
        </w:tc>
        <w:tc>
          <w:tcPr>
            <w:tcW w:w="4021" w:type="pct"/>
          </w:tcPr>
          <w:p w14:paraId="1B759534">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3.1.2对于眼睑外翻的患者可遵医嘱使用抗生素眼膏或者无菌凡士林油砂保护眼睑。</w:t>
            </w:r>
          </w:p>
        </w:tc>
      </w:tr>
      <w:tr w14:paraId="1595C127">
        <w:tc>
          <w:tcPr>
            <w:tcW w:w="483" w:type="pct"/>
            <w:vMerge w:val="continue"/>
          </w:tcPr>
          <w:p w14:paraId="65D17768">
            <w:pPr>
              <w:spacing w:line="360" w:lineRule="auto"/>
              <w:rPr>
                <w:rFonts w:ascii="Times New Roman Regular" w:hAnsi="Times New Roman Regular" w:eastAsia="Songti SC Regular" w:cs="Times New Roman Regular"/>
                <w:sz w:val="15"/>
                <w:szCs w:val="15"/>
                <w:lang w:bidi="ar"/>
              </w:rPr>
            </w:pPr>
          </w:p>
        </w:tc>
        <w:tc>
          <w:tcPr>
            <w:tcW w:w="495" w:type="pct"/>
            <w:vMerge w:val="restart"/>
          </w:tcPr>
          <w:p w14:paraId="2D2B14A5">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3.2 口腔护理</w:t>
            </w:r>
          </w:p>
        </w:tc>
        <w:tc>
          <w:tcPr>
            <w:tcW w:w="4021" w:type="pct"/>
          </w:tcPr>
          <w:p w14:paraId="50FE0694">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3.2.1应使用软毛牙刷及含氟牙膏清洁口腔。</w:t>
            </w:r>
          </w:p>
        </w:tc>
      </w:tr>
      <w:tr w14:paraId="2D712579">
        <w:tc>
          <w:tcPr>
            <w:tcW w:w="483" w:type="pct"/>
            <w:vMerge w:val="continue"/>
          </w:tcPr>
          <w:p w14:paraId="5056FCC9">
            <w:pPr>
              <w:spacing w:line="360" w:lineRule="auto"/>
              <w:rPr>
                <w:rFonts w:ascii="Times New Roman Regular" w:hAnsi="Times New Roman Regular" w:eastAsia="Songti SC Regular" w:cs="Times New Roman Regular"/>
                <w:sz w:val="15"/>
                <w:szCs w:val="15"/>
              </w:rPr>
            </w:pPr>
          </w:p>
        </w:tc>
        <w:tc>
          <w:tcPr>
            <w:tcW w:w="495" w:type="pct"/>
            <w:vMerge w:val="continue"/>
          </w:tcPr>
          <w:p w14:paraId="2CD6870C">
            <w:pPr>
              <w:spacing w:line="360" w:lineRule="auto"/>
              <w:rPr>
                <w:rFonts w:ascii="Times New Roman Regular" w:hAnsi="Times New Roman Regular" w:eastAsia="Songti SC Regular" w:cs="Times New Roman Regular"/>
                <w:sz w:val="15"/>
                <w:szCs w:val="15"/>
              </w:rPr>
            </w:pPr>
          </w:p>
        </w:tc>
        <w:tc>
          <w:tcPr>
            <w:tcW w:w="4021" w:type="pct"/>
          </w:tcPr>
          <w:p w14:paraId="4500DAC8">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3.2.2对于需要喂奶的患者，喂养时使用长而软的奶嘴或使用腭裂儿童专用喂奶器进行喂奶；若口腔周围有水疱或伤口时则限制使用。</w:t>
            </w:r>
          </w:p>
        </w:tc>
      </w:tr>
      <w:tr w14:paraId="709C73C9">
        <w:tc>
          <w:tcPr>
            <w:tcW w:w="483" w:type="pct"/>
            <w:vMerge w:val="continue"/>
            <w:tcBorders>
              <w:bottom w:val="single" w:color="auto" w:sz="12" w:space="0"/>
            </w:tcBorders>
          </w:tcPr>
          <w:p w14:paraId="14D846D7">
            <w:pPr>
              <w:spacing w:line="360" w:lineRule="auto"/>
              <w:rPr>
                <w:rFonts w:ascii="Times New Roman Regular" w:hAnsi="Times New Roman Regular" w:eastAsia="Songti SC Regular" w:cs="Times New Roman Regular"/>
                <w:sz w:val="15"/>
                <w:szCs w:val="15"/>
                <w:lang w:bidi="ar"/>
              </w:rPr>
            </w:pPr>
          </w:p>
        </w:tc>
        <w:tc>
          <w:tcPr>
            <w:tcW w:w="495" w:type="pct"/>
            <w:tcBorders>
              <w:bottom w:val="single" w:color="auto" w:sz="12" w:space="0"/>
            </w:tcBorders>
          </w:tcPr>
          <w:p w14:paraId="68A2300C">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3.3手足部护理</w:t>
            </w:r>
          </w:p>
        </w:tc>
        <w:tc>
          <w:tcPr>
            <w:tcW w:w="4021" w:type="pct"/>
            <w:tcBorders>
              <w:bottom w:val="single" w:color="auto" w:sz="12" w:space="0"/>
            </w:tcBorders>
          </w:tcPr>
          <w:p w14:paraId="1E84B8E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3.3.1对于中度或重度RDEB患者及手部反复水疱瘢痕形成患者，应早期使用分指手套预防手指粘连，或使用软硅胶泡沫、浸有石蜡的纱布，将其切成条状进行手指分离。</w:t>
            </w:r>
          </w:p>
        </w:tc>
      </w:tr>
    </w:tbl>
    <w:p w14:paraId="2D5BE0AC">
      <w:pPr>
        <w:ind w:firstLine="420" w:firstLineChars="200"/>
        <w:jc w:val="center"/>
        <w:rPr>
          <w:rFonts w:hint="eastAsia" w:ascii="Times New Roman Regular" w:hAnsi="Times New Roman Regular" w:eastAsia="宋体" w:cs="Times New Roman Regular"/>
          <w:lang w:val="en-US" w:eastAsia="zh-CN"/>
        </w:rPr>
      </w:pPr>
    </w:p>
    <w:p w14:paraId="7A766E44">
      <w:pPr>
        <w:ind w:firstLine="420" w:firstLineChars="200"/>
        <w:jc w:val="center"/>
      </w:pPr>
      <w:r>
        <w:rPr>
          <w:rFonts w:hint="eastAsia" w:ascii="Times New Roman Regular" w:hAnsi="Times New Roman Regular" w:eastAsia="宋体" w:cs="Times New Roman Regular"/>
          <w:lang w:val="en-US" w:eastAsia="zh-CN"/>
        </w:rPr>
        <w:t>续</w:t>
      </w:r>
      <w:r>
        <w:rPr>
          <w:rFonts w:ascii="Times New Roman Regular" w:hAnsi="Times New Roman Regular" w:eastAsia="宋体" w:cs="Times New Roman Regular"/>
        </w:rPr>
        <w:t>表1 EB患者皮肤伤口护理方案</w:t>
      </w:r>
    </w:p>
    <w:tbl>
      <w:tblPr>
        <w:tblStyle w:val="2"/>
        <w:tblpPr w:leftFromText="180" w:rightFromText="180" w:vertAnchor="text" w:horzAnchor="page" w:tblpX="1970" w:tblpY="-13027"/>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0"/>
        <w:gridCol w:w="844"/>
        <w:gridCol w:w="6855"/>
      </w:tblGrid>
      <w:tr w14:paraId="6C4F68B6">
        <w:tc>
          <w:tcPr>
            <w:tcW w:w="481" w:type="pct"/>
            <w:tcBorders>
              <w:top w:val="single" w:color="auto" w:sz="12" w:space="0"/>
              <w:bottom w:val="single" w:color="auto" w:sz="6" w:space="0"/>
            </w:tcBorders>
            <w:shd w:val="clear" w:color="auto" w:fill="auto"/>
            <w:vAlign w:val="top"/>
          </w:tcPr>
          <w:p w14:paraId="410F4E60">
            <w:pPr>
              <w:spacing w:line="360" w:lineRule="auto"/>
              <w:rPr>
                <w:rFonts w:ascii="Times New Roman Regular" w:hAnsi="Times New Roman Regular" w:eastAsia="Songti SC Regular" w:cs="Times New Roman Regular"/>
                <w:kern w:val="2"/>
                <w:sz w:val="15"/>
                <w:szCs w:val="15"/>
                <w:lang w:val="en-US" w:eastAsia="zh-CN" w:bidi="ar-SA"/>
              </w:rPr>
            </w:pPr>
            <w:r>
              <w:rPr>
                <w:rFonts w:ascii="Times New Roman Regular" w:hAnsi="Times New Roman Regular" w:eastAsia="Songti SC Regular" w:cs="Times New Roman Regular"/>
                <w:sz w:val="15"/>
                <w:szCs w:val="15"/>
              </w:rPr>
              <w:t>一级条目</w:t>
            </w:r>
          </w:p>
        </w:tc>
        <w:tc>
          <w:tcPr>
            <w:tcW w:w="495" w:type="pct"/>
            <w:tcBorders>
              <w:top w:val="single" w:color="auto" w:sz="12" w:space="0"/>
              <w:bottom w:val="single" w:color="auto" w:sz="6" w:space="0"/>
            </w:tcBorders>
            <w:shd w:val="clear" w:color="auto" w:fill="auto"/>
            <w:vAlign w:val="top"/>
          </w:tcPr>
          <w:p w14:paraId="25CA0C3C">
            <w:pPr>
              <w:spacing w:line="360" w:lineRule="auto"/>
              <w:rPr>
                <w:rFonts w:ascii="Times New Roman Regular" w:hAnsi="Times New Roman Regular" w:eastAsia="Songti SC Regular" w:cs="Times New Roman Regular"/>
                <w:color w:val="000000"/>
                <w:kern w:val="0"/>
                <w:sz w:val="15"/>
                <w:szCs w:val="15"/>
                <w:lang w:val="en-US" w:eastAsia="zh-CN" w:bidi="ar-SA"/>
              </w:rPr>
            </w:pPr>
            <w:r>
              <w:rPr>
                <w:rFonts w:ascii="Times New Roman Regular" w:hAnsi="Times New Roman Regular" w:eastAsia="Songti SC Regular" w:cs="Times New Roman Regular"/>
                <w:sz w:val="15"/>
                <w:szCs w:val="15"/>
              </w:rPr>
              <w:t>二级条目</w:t>
            </w:r>
          </w:p>
        </w:tc>
        <w:tc>
          <w:tcPr>
            <w:tcW w:w="4022" w:type="pct"/>
            <w:tcBorders>
              <w:top w:val="single" w:color="auto" w:sz="12" w:space="0"/>
              <w:bottom w:val="single" w:color="auto" w:sz="6" w:space="0"/>
            </w:tcBorders>
            <w:shd w:val="clear" w:color="auto" w:fill="auto"/>
            <w:vAlign w:val="top"/>
          </w:tcPr>
          <w:p w14:paraId="60A1EF46">
            <w:pPr>
              <w:spacing w:line="360" w:lineRule="auto"/>
              <w:rPr>
                <w:rFonts w:ascii="Times New Roman Regular" w:hAnsi="Times New Roman Regular" w:eastAsia="Songti SC Regular" w:cs="Times New Roman Regular"/>
                <w:color w:val="000000"/>
                <w:kern w:val="0"/>
                <w:sz w:val="15"/>
                <w:szCs w:val="15"/>
                <w:lang w:val="en-US" w:eastAsia="zh-CN" w:bidi="ar-SA"/>
              </w:rPr>
            </w:pPr>
            <w:r>
              <w:rPr>
                <w:rFonts w:ascii="Times New Roman Regular" w:hAnsi="Times New Roman Regular" w:eastAsia="Songti SC Regular" w:cs="Times New Roman Regular"/>
                <w:sz w:val="15"/>
                <w:szCs w:val="15"/>
              </w:rPr>
              <w:t>三级条目</w:t>
            </w:r>
          </w:p>
        </w:tc>
      </w:tr>
      <w:tr w14:paraId="3253D4E4">
        <w:tc>
          <w:tcPr>
            <w:tcW w:w="481" w:type="pct"/>
            <w:vMerge w:val="restart"/>
            <w:tcBorders>
              <w:top w:val="single" w:color="auto" w:sz="6" w:space="0"/>
            </w:tcBorders>
          </w:tcPr>
          <w:p w14:paraId="3BAD01EC">
            <w:pPr>
              <w:spacing w:line="360" w:lineRule="auto"/>
              <w:rPr>
                <w:rFonts w:ascii="Times New Roman Regular" w:hAnsi="Times New Roman Regular" w:eastAsia="Songti SC Regular" w:cs="Times New Roman Regular"/>
                <w:sz w:val="15"/>
                <w:szCs w:val="15"/>
              </w:rPr>
            </w:pPr>
          </w:p>
        </w:tc>
        <w:tc>
          <w:tcPr>
            <w:tcW w:w="495" w:type="pct"/>
            <w:tcBorders>
              <w:top w:val="single" w:color="auto" w:sz="6" w:space="0"/>
            </w:tcBorders>
          </w:tcPr>
          <w:p w14:paraId="78E4A095">
            <w:pPr>
              <w:spacing w:line="360" w:lineRule="auto"/>
              <w:rPr>
                <w:rFonts w:ascii="Times New Roman Regular" w:hAnsi="Times New Roman Regular" w:eastAsia="Songti SC Regular" w:cs="Times New Roman Regular"/>
                <w:sz w:val="15"/>
                <w:szCs w:val="15"/>
              </w:rPr>
            </w:pPr>
          </w:p>
        </w:tc>
        <w:tc>
          <w:tcPr>
            <w:tcW w:w="4022" w:type="pct"/>
            <w:tcBorders>
              <w:top w:val="single" w:color="auto" w:sz="6" w:space="0"/>
            </w:tcBorders>
          </w:tcPr>
          <w:p w14:paraId="267000D3">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3.3.2指趾甲增生的患者可使用加温盐水泡软指甲后使用指甲锉，频率依据年龄调整：成人可每日一次，儿童每周一次。</w:t>
            </w:r>
          </w:p>
        </w:tc>
      </w:tr>
      <w:tr w14:paraId="5989A6E3">
        <w:trPr>
          <w:trHeight w:val="446" w:hRule="atLeast"/>
        </w:trPr>
        <w:tc>
          <w:tcPr>
            <w:tcW w:w="481" w:type="pct"/>
            <w:vMerge w:val="continue"/>
          </w:tcPr>
          <w:p w14:paraId="3594902A">
            <w:pPr>
              <w:spacing w:line="360" w:lineRule="auto"/>
              <w:outlineLvl w:val="0"/>
              <w:rPr>
                <w:rFonts w:ascii="Times New Roman Regular" w:hAnsi="Times New Roman Regular" w:eastAsia="Songti SC Regular" w:cs="Times New Roman Regular"/>
                <w:sz w:val="15"/>
                <w:szCs w:val="15"/>
                <w:lang w:bidi="ar"/>
              </w:rPr>
            </w:pPr>
          </w:p>
        </w:tc>
        <w:tc>
          <w:tcPr>
            <w:tcW w:w="495" w:type="pct"/>
            <w:vMerge w:val="restart"/>
          </w:tcPr>
          <w:p w14:paraId="1115A339">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3.4 头面部和颈部伤口护理</w:t>
            </w:r>
          </w:p>
        </w:tc>
        <w:tc>
          <w:tcPr>
            <w:tcW w:w="4022" w:type="pct"/>
          </w:tcPr>
          <w:p w14:paraId="6E791EC5">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3.4.1面部未感染的伤口，可采用暴露方法，或贴薄型美皮康，避免使用粘性胶带固定。</w:t>
            </w:r>
          </w:p>
        </w:tc>
      </w:tr>
      <w:tr w14:paraId="72CF66CD">
        <w:tc>
          <w:tcPr>
            <w:tcW w:w="481" w:type="pct"/>
            <w:vMerge w:val="continue"/>
          </w:tcPr>
          <w:p w14:paraId="404AC65D">
            <w:pPr>
              <w:rPr>
                <w:rFonts w:ascii="Times New Roman Regular" w:hAnsi="Times New Roman Regular" w:eastAsia="Songti SC Regular" w:cs="Times New Roman Regular"/>
                <w:sz w:val="15"/>
                <w:szCs w:val="15"/>
              </w:rPr>
            </w:pPr>
          </w:p>
        </w:tc>
        <w:tc>
          <w:tcPr>
            <w:tcW w:w="495" w:type="pct"/>
            <w:vMerge w:val="continue"/>
          </w:tcPr>
          <w:p w14:paraId="5AA2E012">
            <w:pPr>
              <w:rPr>
                <w:rFonts w:ascii="Times New Roman Regular" w:hAnsi="Times New Roman Regular" w:eastAsia="Songti SC Regular" w:cs="Times New Roman Regular"/>
                <w:sz w:val="15"/>
                <w:szCs w:val="15"/>
              </w:rPr>
            </w:pPr>
          </w:p>
        </w:tc>
        <w:tc>
          <w:tcPr>
            <w:tcW w:w="4022" w:type="pct"/>
          </w:tcPr>
          <w:p w14:paraId="153A6AAE">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3.4.2评估耳部受压风险。可建议侧卧时使用柔软敷料衬垫于耳后，以防止压迫性损伤。</w:t>
            </w:r>
          </w:p>
        </w:tc>
      </w:tr>
      <w:tr w14:paraId="76690736">
        <w:trPr>
          <w:trHeight w:val="187" w:hRule="atLeast"/>
        </w:trPr>
        <w:tc>
          <w:tcPr>
            <w:tcW w:w="481" w:type="pct"/>
            <w:vMerge w:val="continue"/>
          </w:tcPr>
          <w:p w14:paraId="664B55F7">
            <w:pPr>
              <w:rPr>
                <w:rFonts w:ascii="Times New Roman Regular" w:hAnsi="Times New Roman Regular" w:eastAsia="Songti SC Regular" w:cs="Times New Roman Regular"/>
                <w:sz w:val="15"/>
                <w:szCs w:val="15"/>
              </w:rPr>
            </w:pPr>
          </w:p>
        </w:tc>
        <w:tc>
          <w:tcPr>
            <w:tcW w:w="495" w:type="pct"/>
            <w:vMerge w:val="continue"/>
          </w:tcPr>
          <w:p w14:paraId="18F54AC2">
            <w:pPr>
              <w:rPr>
                <w:rFonts w:ascii="Times New Roman Regular" w:hAnsi="Times New Roman Regular" w:eastAsia="Songti SC Regular" w:cs="Times New Roman Regular"/>
                <w:sz w:val="15"/>
                <w:szCs w:val="15"/>
              </w:rPr>
            </w:pPr>
          </w:p>
        </w:tc>
        <w:tc>
          <w:tcPr>
            <w:tcW w:w="4022" w:type="pct"/>
          </w:tcPr>
          <w:p w14:paraId="1F921C00">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3.4.3颈部包扎时注意松紧度，避免过紧压迫气管，也可使用定制高领弹力网衣进行固定。</w:t>
            </w:r>
          </w:p>
        </w:tc>
      </w:tr>
      <w:tr w14:paraId="3A4901BC">
        <w:trPr>
          <w:trHeight w:val="90" w:hRule="atLeast"/>
        </w:trPr>
        <w:tc>
          <w:tcPr>
            <w:tcW w:w="481" w:type="pct"/>
            <w:vMerge w:val="continue"/>
          </w:tcPr>
          <w:p w14:paraId="72592400">
            <w:pPr>
              <w:spacing w:line="360" w:lineRule="auto"/>
              <w:outlineLvl w:val="0"/>
              <w:rPr>
                <w:rFonts w:ascii="Times New Roman Regular" w:hAnsi="Times New Roman Regular" w:eastAsia="Songti SC Regular" w:cs="Times New Roman Regular"/>
                <w:sz w:val="15"/>
                <w:szCs w:val="15"/>
                <w:lang w:bidi="ar"/>
              </w:rPr>
            </w:pPr>
          </w:p>
        </w:tc>
        <w:tc>
          <w:tcPr>
            <w:tcW w:w="495" w:type="pct"/>
            <w:vMerge w:val="restart"/>
          </w:tcPr>
          <w:p w14:paraId="108BC43B">
            <w:pPr>
              <w:spacing w:line="360" w:lineRule="auto"/>
              <w:outlineLvl w:val="0"/>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3.5 肩部和腋下伤口护理</w:t>
            </w:r>
          </w:p>
        </w:tc>
        <w:tc>
          <w:tcPr>
            <w:tcW w:w="4022" w:type="pct"/>
          </w:tcPr>
          <w:p w14:paraId="46079B8C">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3.5.1应指导患者避免长时间侧卧压迫肩部。需使用加厚海绵垫或减压垫进行保护。</w:t>
            </w:r>
          </w:p>
        </w:tc>
      </w:tr>
      <w:tr w14:paraId="01696C03">
        <w:trPr>
          <w:trHeight w:val="187" w:hRule="atLeast"/>
        </w:trPr>
        <w:tc>
          <w:tcPr>
            <w:tcW w:w="481" w:type="pct"/>
            <w:vMerge w:val="continue"/>
          </w:tcPr>
          <w:p w14:paraId="4A82C328">
            <w:pPr>
              <w:rPr>
                <w:rFonts w:ascii="Times New Roman Regular" w:hAnsi="Times New Roman Regular" w:eastAsia="Songti SC Regular" w:cs="Times New Roman Regular"/>
                <w:sz w:val="15"/>
                <w:szCs w:val="15"/>
              </w:rPr>
            </w:pPr>
          </w:p>
        </w:tc>
        <w:tc>
          <w:tcPr>
            <w:tcW w:w="495" w:type="pct"/>
            <w:vMerge w:val="continue"/>
          </w:tcPr>
          <w:p w14:paraId="4AEBBC58">
            <w:pPr>
              <w:rPr>
                <w:rFonts w:ascii="Times New Roman Regular" w:hAnsi="Times New Roman Regular" w:eastAsia="Songti SC Regular" w:cs="Times New Roman Regular"/>
                <w:sz w:val="15"/>
                <w:szCs w:val="15"/>
              </w:rPr>
            </w:pPr>
          </w:p>
        </w:tc>
        <w:tc>
          <w:tcPr>
            <w:tcW w:w="4022" w:type="pct"/>
          </w:tcPr>
          <w:p w14:paraId="46685672">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3.5.2腋下等褶皱部位敷料固定，宜采用“桥式”贴法，将敷料两端固定于胸壁或背部。</w:t>
            </w:r>
          </w:p>
        </w:tc>
      </w:tr>
      <w:tr w14:paraId="751D23DA">
        <w:trPr>
          <w:trHeight w:val="187" w:hRule="atLeast"/>
        </w:trPr>
        <w:tc>
          <w:tcPr>
            <w:tcW w:w="481" w:type="pct"/>
            <w:vMerge w:val="continue"/>
          </w:tcPr>
          <w:p w14:paraId="18490A37">
            <w:pPr>
              <w:spacing w:line="360" w:lineRule="auto"/>
              <w:rPr>
                <w:rFonts w:ascii="Times New Roman Regular" w:hAnsi="Times New Roman Regular" w:eastAsia="Songti SC Regular" w:cs="Times New Roman Regular"/>
                <w:sz w:val="15"/>
                <w:szCs w:val="15"/>
                <w:lang w:bidi="ar"/>
              </w:rPr>
            </w:pPr>
          </w:p>
        </w:tc>
        <w:tc>
          <w:tcPr>
            <w:tcW w:w="495" w:type="pct"/>
            <w:vMerge w:val="restart"/>
          </w:tcPr>
          <w:p w14:paraId="067E8B4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3.6肛周及会阴部护理</w:t>
            </w:r>
          </w:p>
        </w:tc>
        <w:tc>
          <w:tcPr>
            <w:tcW w:w="4022" w:type="pct"/>
          </w:tcPr>
          <w:p w14:paraId="13B1D5AF">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3.6.1尿布区域糜烂的皮肤可通过大量涂抹凡士林与液体石蜡的等比例混合物，或涂抹凡士林来保护，也可使用专门的非粘连性敷料。</w:t>
            </w:r>
          </w:p>
        </w:tc>
      </w:tr>
      <w:tr w14:paraId="26844C3D">
        <w:trPr>
          <w:trHeight w:val="187" w:hRule="atLeast"/>
        </w:trPr>
        <w:tc>
          <w:tcPr>
            <w:tcW w:w="481" w:type="pct"/>
            <w:vMerge w:val="continue"/>
          </w:tcPr>
          <w:p w14:paraId="3A3AF330">
            <w:pPr>
              <w:rPr>
                <w:rFonts w:ascii="Times New Roman Regular" w:hAnsi="Times New Roman Regular" w:eastAsia="Songti SC Regular" w:cs="Times New Roman Regular"/>
                <w:sz w:val="15"/>
                <w:szCs w:val="15"/>
              </w:rPr>
            </w:pPr>
          </w:p>
        </w:tc>
        <w:tc>
          <w:tcPr>
            <w:tcW w:w="495" w:type="pct"/>
            <w:vMerge w:val="continue"/>
          </w:tcPr>
          <w:p w14:paraId="60F241A4">
            <w:pPr>
              <w:rPr>
                <w:rFonts w:ascii="Times New Roman Regular" w:hAnsi="Times New Roman Regular" w:eastAsia="Songti SC Regular" w:cs="Times New Roman Regular"/>
                <w:sz w:val="15"/>
                <w:szCs w:val="15"/>
              </w:rPr>
            </w:pPr>
          </w:p>
        </w:tc>
        <w:tc>
          <w:tcPr>
            <w:tcW w:w="4022" w:type="pct"/>
          </w:tcPr>
          <w:p w14:paraId="2918FB4D">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3.6.2应在每次便后清洁并在肛周涂抹液体石蜡等润滑剂，以隔离排泄物刺激。</w:t>
            </w:r>
          </w:p>
        </w:tc>
      </w:tr>
      <w:tr w14:paraId="2DC5B6A2">
        <w:trPr>
          <w:trHeight w:val="187" w:hRule="atLeast"/>
        </w:trPr>
        <w:tc>
          <w:tcPr>
            <w:tcW w:w="481" w:type="pct"/>
            <w:vMerge w:val="continue"/>
          </w:tcPr>
          <w:p w14:paraId="22CDD5DE">
            <w:pPr>
              <w:rPr>
                <w:rFonts w:ascii="Times New Roman Regular" w:hAnsi="Times New Roman Regular" w:eastAsia="Songti SC Regular" w:cs="Times New Roman Regular"/>
                <w:sz w:val="15"/>
                <w:szCs w:val="15"/>
              </w:rPr>
            </w:pPr>
          </w:p>
        </w:tc>
        <w:tc>
          <w:tcPr>
            <w:tcW w:w="495" w:type="pct"/>
            <w:vMerge w:val="continue"/>
          </w:tcPr>
          <w:p w14:paraId="5D814CE6">
            <w:pPr>
              <w:rPr>
                <w:rFonts w:ascii="Times New Roman Regular" w:hAnsi="Times New Roman Regular" w:eastAsia="Songti SC Regular" w:cs="Times New Roman Regular"/>
                <w:sz w:val="15"/>
                <w:szCs w:val="15"/>
              </w:rPr>
            </w:pPr>
          </w:p>
        </w:tc>
        <w:tc>
          <w:tcPr>
            <w:tcW w:w="4022" w:type="pct"/>
          </w:tcPr>
          <w:p w14:paraId="69258884">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3.6.3定期评估JEB患者尿布区域是否出现过度肉芽组织增生。若存在，可遵医嘱使用局部皮质类固醇软膏进行控制。</w:t>
            </w:r>
          </w:p>
        </w:tc>
      </w:tr>
      <w:tr w14:paraId="6369BD50">
        <w:trPr>
          <w:trHeight w:val="187" w:hRule="atLeast"/>
        </w:trPr>
        <w:tc>
          <w:tcPr>
            <w:tcW w:w="481" w:type="pct"/>
            <w:vMerge w:val="restart"/>
          </w:tcPr>
          <w:p w14:paraId="087D32F9">
            <w:pPr>
              <w:spacing w:line="360" w:lineRule="auto"/>
              <w:rPr>
                <w:rFonts w:ascii="Times New Roman Regular" w:hAnsi="Times New Roman Regular" w:eastAsia="Songti SC Regular" w:cs="Times New Roman Regular"/>
                <w:sz w:val="15"/>
                <w:szCs w:val="15"/>
                <w:lang w:bidi="ar"/>
              </w:rPr>
            </w:pPr>
            <w:r>
              <w:rPr>
                <w:rFonts w:ascii="Times New Roman Regular" w:hAnsi="Times New Roman Regular" w:eastAsia="Songti SC Regular" w:cs="Times New Roman Regular"/>
                <w:sz w:val="15"/>
                <w:szCs w:val="15"/>
                <w:lang w:bidi="ar"/>
              </w:rPr>
              <w:t>4.疼痛护理</w:t>
            </w:r>
          </w:p>
        </w:tc>
        <w:tc>
          <w:tcPr>
            <w:tcW w:w="495" w:type="pct"/>
            <w:vMerge w:val="restart"/>
          </w:tcPr>
          <w:p w14:paraId="15E55D80">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4.1 换药前</w:t>
            </w:r>
          </w:p>
        </w:tc>
        <w:tc>
          <w:tcPr>
            <w:tcW w:w="4022" w:type="pct"/>
          </w:tcPr>
          <w:p w14:paraId="1B18993C">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4.1.1应常规采用生理盐水浸浴或涂抹油剂产品（如凡士林、液体石蜡等）软化敷料后祛除敷料，操作时需注意控制浸湿面积，尤其是新生儿，以防低体温。</w:t>
            </w:r>
          </w:p>
        </w:tc>
      </w:tr>
      <w:tr w14:paraId="54717675">
        <w:trPr>
          <w:trHeight w:val="187" w:hRule="atLeast"/>
        </w:trPr>
        <w:tc>
          <w:tcPr>
            <w:tcW w:w="481" w:type="pct"/>
            <w:vMerge w:val="continue"/>
          </w:tcPr>
          <w:p w14:paraId="4E60352C">
            <w:pPr>
              <w:rPr>
                <w:rFonts w:ascii="Times New Roman Regular" w:hAnsi="Times New Roman Regular" w:eastAsia="Songti SC Regular" w:cs="Times New Roman Regular"/>
                <w:sz w:val="15"/>
                <w:szCs w:val="15"/>
              </w:rPr>
            </w:pPr>
          </w:p>
        </w:tc>
        <w:tc>
          <w:tcPr>
            <w:tcW w:w="495" w:type="pct"/>
            <w:vMerge w:val="continue"/>
          </w:tcPr>
          <w:p w14:paraId="781C72F1">
            <w:pPr>
              <w:rPr>
                <w:rFonts w:ascii="Times New Roman Regular" w:hAnsi="Times New Roman Regular" w:eastAsia="Songti SC Regular" w:cs="Times New Roman Regular"/>
                <w:sz w:val="15"/>
                <w:szCs w:val="15"/>
              </w:rPr>
            </w:pPr>
          </w:p>
        </w:tc>
        <w:tc>
          <w:tcPr>
            <w:tcW w:w="4022" w:type="pct"/>
          </w:tcPr>
          <w:p w14:paraId="0D1F869B">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4.1.2对于敷料粘连或胶带黏附于皮肤的情况，应使用医用黏胶去除剂（SMAR）辅助剥离。</w:t>
            </w:r>
          </w:p>
        </w:tc>
      </w:tr>
      <w:tr w14:paraId="79DDA956">
        <w:trPr>
          <w:trHeight w:val="187" w:hRule="atLeast"/>
        </w:trPr>
        <w:tc>
          <w:tcPr>
            <w:tcW w:w="481" w:type="pct"/>
            <w:vMerge w:val="continue"/>
          </w:tcPr>
          <w:p w14:paraId="5EF1AD75">
            <w:pPr>
              <w:spacing w:line="360" w:lineRule="auto"/>
              <w:rPr>
                <w:rFonts w:ascii="Times New Roman Regular" w:hAnsi="Times New Roman Regular" w:eastAsia="Songti SC Regular" w:cs="Times New Roman Regular"/>
                <w:sz w:val="15"/>
                <w:szCs w:val="15"/>
                <w:lang w:bidi="ar"/>
              </w:rPr>
            </w:pPr>
          </w:p>
        </w:tc>
        <w:tc>
          <w:tcPr>
            <w:tcW w:w="495" w:type="pct"/>
            <w:vMerge w:val="restart"/>
          </w:tcPr>
          <w:p w14:paraId="43BC3792">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4.2 换药中</w:t>
            </w:r>
          </w:p>
        </w:tc>
        <w:tc>
          <w:tcPr>
            <w:tcW w:w="4022" w:type="pct"/>
          </w:tcPr>
          <w:p w14:paraId="27E0349B">
            <w:pPr>
              <w:widowControl/>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4.2.1宜选择经过信效度验证且适合不同年龄段的疼痛评估量，进行疼痛评分。</w:t>
            </w:r>
          </w:p>
        </w:tc>
      </w:tr>
      <w:tr w14:paraId="46B74519">
        <w:trPr>
          <w:trHeight w:val="187" w:hRule="atLeast"/>
        </w:trPr>
        <w:tc>
          <w:tcPr>
            <w:tcW w:w="481" w:type="pct"/>
            <w:vMerge w:val="continue"/>
          </w:tcPr>
          <w:p w14:paraId="4910AA89">
            <w:pPr>
              <w:rPr>
                <w:rFonts w:ascii="Times New Roman Regular" w:hAnsi="Times New Roman Regular" w:eastAsia="Songti SC Regular" w:cs="Times New Roman Regular"/>
                <w:sz w:val="15"/>
                <w:szCs w:val="15"/>
              </w:rPr>
            </w:pPr>
          </w:p>
        </w:tc>
        <w:tc>
          <w:tcPr>
            <w:tcW w:w="495" w:type="pct"/>
            <w:vMerge w:val="continue"/>
          </w:tcPr>
          <w:p w14:paraId="0595DCBD">
            <w:pPr>
              <w:rPr>
                <w:rFonts w:ascii="Times New Roman Regular" w:hAnsi="Times New Roman Regular" w:eastAsia="Songti SC Regular" w:cs="Times New Roman Regular"/>
                <w:sz w:val="15"/>
                <w:szCs w:val="15"/>
              </w:rPr>
            </w:pPr>
          </w:p>
        </w:tc>
        <w:tc>
          <w:tcPr>
            <w:tcW w:w="4022" w:type="pct"/>
          </w:tcPr>
          <w:p w14:paraId="34C68CC5">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4.2.2根据疼痛评估结果提供合适的镇痛措施，轻度疼痛可使用如对乙酰氨基酚和布洛芬，新生儿可根据体重使用24%蔗糖或20%-30%浓度的葡萄糖溶液。中重度疼痛可根据医嘱使用阿片类止痛药物。</w:t>
            </w:r>
          </w:p>
        </w:tc>
      </w:tr>
      <w:tr w14:paraId="0C09096A">
        <w:trPr>
          <w:trHeight w:val="90" w:hRule="atLeast"/>
        </w:trPr>
        <w:tc>
          <w:tcPr>
            <w:tcW w:w="481" w:type="pct"/>
            <w:vMerge w:val="continue"/>
          </w:tcPr>
          <w:p w14:paraId="74A8114A">
            <w:pPr>
              <w:spacing w:line="360" w:lineRule="auto"/>
              <w:rPr>
                <w:rFonts w:ascii="Times New Roman Regular" w:hAnsi="Times New Roman Regular" w:eastAsia="Songti SC Regular" w:cs="Times New Roman Regular"/>
                <w:sz w:val="15"/>
                <w:szCs w:val="15"/>
                <w:lang w:bidi="ar"/>
              </w:rPr>
            </w:pPr>
          </w:p>
        </w:tc>
        <w:tc>
          <w:tcPr>
            <w:tcW w:w="495" w:type="pct"/>
          </w:tcPr>
          <w:p w14:paraId="5345F9D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4.3 换药后</w:t>
            </w:r>
          </w:p>
        </w:tc>
        <w:tc>
          <w:tcPr>
            <w:tcW w:w="4022" w:type="pct"/>
          </w:tcPr>
          <w:p w14:paraId="289DF7B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4.3.1换药后给予患者安抚；保持安静环境，可辅以放轻音乐、讲故事帮助放松；</w:t>
            </w:r>
          </w:p>
        </w:tc>
      </w:tr>
      <w:tr w14:paraId="4ABC529A">
        <w:trPr>
          <w:trHeight w:val="187" w:hRule="atLeast"/>
        </w:trPr>
        <w:tc>
          <w:tcPr>
            <w:tcW w:w="481" w:type="pct"/>
            <w:vMerge w:val="restart"/>
          </w:tcPr>
          <w:p w14:paraId="7186C29B">
            <w:pPr>
              <w:spacing w:line="360" w:lineRule="auto"/>
              <w:rPr>
                <w:rFonts w:ascii="Times New Roman Regular" w:hAnsi="Times New Roman Regular" w:eastAsia="Songti SC Regular" w:cs="Times New Roman Regular"/>
                <w:sz w:val="15"/>
                <w:szCs w:val="15"/>
                <w:lang w:bidi="ar"/>
              </w:rPr>
            </w:pPr>
            <w:r>
              <w:rPr>
                <w:rFonts w:ascii="Times New Roman Regular" w:hAnsi="Times New Roman Regular" w:eastAsia="Songti SC Regular" w:cs="Times New Roman Regular"/>
                <w:sz w:val="15"/>
                <w:szCs w:val="15"/>
                <w:lang w:bidi="ar"/>
              </w:rPr>
              <w:t>5.营养支持</w:t>
            </w:r>
          </w:p>
        </w:tc>
        <w:tc>
          <w:tcPr>
            <w:tcW w:w="495" w:type="pct"/>
            <w:vMerge w:val="restart"/>
          </w:tcPr>
          <w:p w14:paraId="67A3A27A">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5.1饮食管理</w:t>
            </w:r>
          </w:p>
        </w:tc>
        <w:tc>
          <w:tcPr>
            <w:tcW w:w="4022" w:type="pct"/>
          </w:tcPr>
          <w:p w14:paraId="2422361B">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5.1.1应评估患者营养状况，并指导其选择高蛋白、高能量、富含维生素及微量元素的饮食，避免辛辣、粗糙等刺激性食物。对于婴幼儿，应积极推荐母乳或营养强化配方奶喂养。</w:t>
            </w:r>
          </w:p>
        </w:tc>
      </w:tr>
      <w:tr w14:paraId="755F56D0">
        <w:trPr>
          <w:trHeight w:val="187" w:hRule="atLeast"/>
        </w:trPr>
        <w:tc>
          <w:tcPr>
            <w:tcW w:w="481" w:type="pct"/>
            <w:vMerge w:val="continue"/>
          </w:tcPr>
          <w:p w14:paraId="287D3256">
            <w:pPr>
              <w:spacing w:line="360" w:lineRule="auto"/>
              <w:rPr>
                <w:rFonts w:ascii="Times New Roman Regular" w:hAnsi="Times New Roman Regular" w:eastAsia="Songti SC Regular" w:cs="Times New Roman Regular"/>
                <w:sz w:val="15"/>
                <w:szCs w:val="15"/>
              </w:rPr>
            </w:pPr>
          </w:p>
        </w:tc>
        <w:tc>
          <w:tcPr>
            <w:tcW w:w="495" w:type="pct"/>
            <w:vMerge w:val="continue"/>
          </w:tcPr>
          <w:p w14:paraId="1A7BF845">
            <w:pPr>
              <w:spacing w:line="360" w:lineRule="auto"/>
              <w:rPr>
                <w:rFonts w:ascii="Times New Roman Regular" w:hAnsi="Times New Roman Regular" w:eastAsia="Songti SC Regular" w:cs="Times New Roman Regular"/>
                <w:sz w:val="15"/>
                <w:szCs w:val="15"/>
              </w:rPr>
            </w:pPr>
          </w:p>
        </w:tc>
        <w:tc>
          <w:tcPr>
            <w:tcW w:w="4022" w:type="pct"/>
          </w:tcPr>
          <w:p w14:paraId="6D22D854">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5.1.2评估患者吞咽功能。对于存在吞咽困难者，应调整食物质地（如软烂、糊状或流质），建议联合临床营养师共同制定个体化饮食计划。</w:t>
            </w:r>
          </w:p>
        </w:tc>
      </w:tr>
      <w:tr w14:paraId="77D54104">
        <w:trPr>
          <w:trHeight w:val="187" w:hRule="atLeast"/>
        </w:trPr>
        <w:tc>
          <w:tcPr>
            <w:tcW w:w="481" w:type="pct"/>
            <w:vMerge w:val="continue"/>
            <w:tcBorders>
              <w:bottom w:val="single" w:color="auto" w:sz="12" w:space="0"/>
            </w:tcBorders>
          </w:tcPr>
          <w:p w14:paraId="141B18D8">
            <w:pPr>
              <w:spacing w:line="360" w:lineRule="auto"/>
              <w:rPr>
                <w:rFonts w:ascii="Times New Roman Regular" w:hAnsi="Times New Roman Regular" w:eastAsia="Songti SC Regular" w:cs="Times New Roman Regular"/>
                <w:sz w:val="15"/>
                <w:szCs w:val="15"/>
                <w:lang w:bidi="ar"/>
              </w:rPr>
            </w:pPr>
          </w:p>
        </w:tc>
        <w:tc>
          <w:tcPr>
            <w:tcW w:w="495" w:type="pct"/>
            <w:tcBorders>
              <w:bottom w:val="single" w:color="auto" w:sz="12" w:space="0"/>
            </w:tcBorders>
          </w:tcPr>
          <w:p w14:paraId="7F37319B">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5.2营养不良</w:t>
            </w:r>
          </w:p>
        </w:tc>
        <w:tc>
          <w:tcPr>
            <w:tcW w:w="4022" w:type="pct"/>
            <w:tcBorders>
              <w:bottom w:val="single" w:color="auto" w:sz="12" w:space="0"/>
            </w:tcBorders>
          </w:tcPr>
          <w:p w14:paraId="59D72017">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5.2.1所有重型EB患者，尤其是RDEB或JEB，均属于营养不良高风险人群，须纳入常规营养监测。</w:t>
            </w:r>
          </w:p>
        </w:tc>
      </w:tr>
    </w:tbl>
    <w:p w14:paraId="55B7A402"/>
    <w:tbl>
      <w:tblPr>
        <w:tblStyle w:val="2"/>
        <w:tblpPr w:leftFromText="180" w:rightFromText="180" w:vertAnchor="text" w:horzAnchor="page" w:tblpX="1970" w:tblpY="304"/>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9"/>
        <w:gridCol w:w="844"/>
        <w:gridCol w:w="6856"/>
      </w:tblGrid>
      <w:tr w14:paraId="10639FB2">
        <w:trPr>
          <w:trHeight w:val="187" w:hRule="atLeast"/>
        </w:trPr>
        <w:tc>
          <w:tcPr>
            <w:tcW w:w="481" w:type="pct"/>
            <w:tcBorders>
              <w:top w:val="single" w:color="auto" w:sz="12" w:space="0"/>
              <w:bottom w:val="single" w:color="auto" w:sz="6" w:space="0"/>
            </w:tcBorders>
            <w:shd w:val="clear" w:color="auto" w:fill="auto"/>
            <w:vAlign w:val="top"/>
          </w:tcPr>
          <w:p w14:paraId="2D61E09E">
            <w:pPr>
              <w:spacing w:line="360" w:lineRule="auto"/>
              <w:rPr>
                <w:rFonts w:ascii="Times New Roman Regular" w:hAnsi="Times New Roman Regular" w:eastAsia="Songti SC Regular" w:cs="Times New Roman Regular"/>
                <w:kern w:val="2"/>
                <w:sz w:val="15"/>
                <w:szCs w:val="15"/>
                <w:lang w:val="en-US" w:eastAsia="zh-CN" w:bidi="ar-SA"/>
              </w:rPr>
            </w:pPr>
            <w:r>
              <w:rPr>
                <w:rFonts w:ascii="Times New Roman Regular" w:hAnsi="Times New Roman Regular" w:eastAsia="Songti SC Regular" w:cs="Times New Roman Regular"/>
                <w:sz w:val="15"/>
                <w:szCs w:val="15"/>
              </w:rPr>
              <w:t>一级条目</w:t>
            </w:r>
          </w:p>
        </w:tc>
        <w:tc>
          <w:tcPr>
            <w:tcW w:w="495" w:type="pct"/>
            <w:tcBorders>
              <w:top w:val="single" w:color="auto" w:sz="12" w:space="0"/>
              <w:bottom w:val="single" w:color="auto" w:sz="6" w:space="0"/>
            </w:tcBorders>
            <w:shd w:val="clear" w:color="auto" w:fill="auto"/>
            <w:vAlign w:val="top"/>
          </w:tcPr>
          <w:p w14:paraId="3C542E29">
            <w:pPr>
              <w:spacing w:line="360" w:lineRule="auto"/>
              <w:rPr>
                <w:rFonts w:ascii="Times New Roman Regular" w:hAnsi="Times New Roman Regular" w:eastAsia="Songti SC Regular" w:cs="Times New Roman Regular"/>
                <w:color w:val="000000"/>
                <w:kern w:val="0"/>
                <w:sz w:val="15"/>
                <w:szCs w:val="15"/>
                <w:lang w:val="en-US" w:eastAsia="zh-CN" w:bidi="ar-SA"/>
              </w:rPr>
            </w:pPr>
            <w:r>
              <w:rPr>
                <w:rFonts w:ascii="Times New Roman Regular" w:hAnsi="Times New Roman Regular" w:eastAsia="Songti SC Regular" w:cs="Times New Roman Regular"/>
                <w:sz w:val="15"/>
                <w:szCs w:val="15"/>
              </w:rPr>
              <w:t>二级条目</w:t>
            </w:r>
          </w:p>
        </w:tc>
        <w:tc>
          <w:tcPr>
            <w:tcW w:w="4023" w:type="pct"/>
            <w:tcBorders>
              <w:top w:val="single" w:color="auto" w:sz="12" w:space="0"/>
              <w:bottom w:val="single" w:color="auto" w:sz="6" w:space="0"/>
            </w:tcBorders>
            <w:shd w:val="clear" w:color="auto" w:fill="auto"/>
            <w:vAlign w:val="top"/>
          </w:tcPr>
          <w:p w14:paraId="161DFB73">
            <w:pPr>
              <w:spacing w:line="360" w:lineRule="auto"/>
              <w:rPr>
                <w:rFonts w:ascii="Times New Roman Regular" w:hAnsi="Times New Roman Regular" w:eastAsia="Songti SC Regular" w:cs="Times New Roman Regular"/>
                <w:color w:val="000000"/>
                <w:kern w:val="0"/>
                <w:sz w:val="15"/>
                <w:szCs w:val="15"/>
                <w:lang w:val="en-US" w:eastAsia="zh-CN" w:bidi="ar-SA"/>
              </w:rPr>
            </w:pPr>
            <w:r>
              <w:rPr>
                <w:rFonts w:ascii="Times New Roman Regular" w:hAnsi="Times New Roman Regular" w:eastAsia="Songti SC Regular" w:cs="Times New Roman Regular"/>
                <w:sz w:val="15"/>
                <w:szCs w:val="15"/>
              </w:rPr>
              <w:t>三级条目</w:t>
            </w:r>
          </w:p>
        </w:tc>
      </w:tr>
      <w:tr w14:paraId="0FAA347F">
        <w:trPr>
          <w:trHeight w:val="187" w:hRule="atLeast"/>
        </w:trPr>
        <w:tc>
          <w:tcPr>
            <w:tcW w:w="481" w:type="pct"/>
            <w:vMerge w:val="restart"/>
            <w:tcBorders>
              <w:top w:val="single" w:color="auto" w:sz="6" w:space="0"/>
            </w:tcBorders>
          </w:tcPr>
          <w:p w14:paraId="461AAC04">
            <w:pPr>
              <w:rPr>
                <w:rFonts w:ascii="Times New Roman Regular" w:hAnsi="Times New Roman Regular" w:eastAsia="Songti SC Regular" w:cs="Times New Roman Regular"/>
                <w:sz w:val="15"/>
                <w:szCs w:val="15"/>
              </w:rPr>
            </w:pPr>
          </w:p>
        </w:tc>
        <w:tc>
          <w:tcPr>
            <w:tcW w:w="495" w:type="pct"/>
            <w:vMerge w:val="restart"/>
            <w:tcBorders>
              <w:top w:val="single" w:color="auto" w:sz="6" w:space="0"/>
            </w:tcBorders>
          </w:tcPr>
          <w:p w14:paraId="1353B90E">
            <w:pPr>
              <w:rPr>
                <w:rFonts w:ascii="Times New Roman Regular" w:hAnsi="Times New Roman Regular" w:eastAsia="Songti SC Regular" w:cs="Times New Roman Regular"/>
                <w:sz w:val="15"/>
                <w:szCs w:val="15"/>
              </w:rPr>
            </w:pPr>
          </w:p>
        </w:tc>
        <w:tc>
          <w:tcPr>
            <w:tcW w:w="4023" w:type="pct"/>
            <w:tcBorders>
              <w:top w:val="single" w:color="auto" w:sz="6" w:space="0"/>
            </w:tcBorders>
          </w:tcPr>
          <w:p w14:paraId="004A45BB">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对于存在生长迟滞的婴儿，应经医生评估后，更换为特殊医学配方食品。必要时，遵医嘱实施鼻胃管短期辅助喂养（通常不超过6-8周）。</w:t>
            </w:r>
          </w:p>
        </w:tc>
      </w:tr>
      <w:tr w14:paraId="5D649014">
        <w:trPr>
          <w:trHeight w:val="187" w:hRule="atLeast"/>
        </w:trPr>
        <w:tc>
          <w:tcPr>
            <w:tcW w:w="481" w:type="pct"/>
            <w:vMerge w:val="continue"/>
          </w:tcPr>
          <w:p w14:paraId="3FC349F0">
            <w:pPr>
              <w:rPr>
                <w:rFonts w:ascii="Times New Roman Regular" w:hAnsi="Times New Roman Regular" w:eastAsia="Songti SC Regular" w:cs="Times New Roman Regular"/>
                <w:sz w:val="15"/>
                <w:szCs w:val="15"/>
              </w:rPr>
            </w:pPr>
          </w:p>
        </w:tc>
        <w:tc>
          <w:tcPr>
            <w:tcW w:w="495" w:type="pct"/>
            <w:vMerge w:val="continue"/>
          </w:tcPr>
          <w:p w14:paraId="70D1FB88">
            <w:pPr>
              <w:rPr>
                <w:rFonts w:ascii="Times New Roman Regular" w:hAnsi="Times New Roman Regular" w:eastAsia="Songti SC Regular" w:cs="Times New Roman Regular"/>
                <w:sz w:val="15"/>
                <w:szCs w:val="15"/>
              </w:rPr>
            </w:pPr>
          </w:p>
        </w:tc>
        <w:tc>
          <w:tcPr>
            <w:tcW w:w="4023" w:type="pct"/>
          </w:tcPr>
          <w:p w14:paraId="0091453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5.2.2对于接受肠内营养的患者，仍应鼓励其维持口腔吸吮和吞咽的练习，以保证口腔功能发育及未来的社交进食能力。</w:t>
            </w:r>
          </w:p>
        </w:tc>
      </w:tr>
      <w:tr w14:paraId="170E0ECE">
        <w:trPr>
          <w:trHeight w:val="187" w:hRule="atLeast"/>
        </w:trPr>
        <w:tc>
          <w:tcPr>
            <w:tcW w:w="481" w:type="pct"/>
            <w:vMerge w:val="continue"/>
          </w:tcPr>
          <w:p w14:paraId="09F4B175">
            <w:pPr>
              <w:spacing w:line="360" w:lineRule="auto"/>
              <w:rPr>
                <w:rFonts w:ascii="Times New Roman Regular" w:hAnsi="Times New Roman Regular" w:eastAsia="Songti SC Regular" w:cs="Times New Roman Regular"/>
                <w:sz w:val="15"/>
                <w:szCs w:val="15"/>
                <w:lang w:bidi="ar"/>
              </w:rPr>
            </w:pPr>
          </w:p>
        </w:tc>
        <w:tc>
          <w:tcPr>
            <w:tcW w:w="495" w:type="pct"/>
          </w:tcPr>
          <w:p w14:paraId="2304CD31">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5.3贫血</w:t>
            </w:r>
          </w:p>
        </w:tc>
        <w:tc>
          <w:tcPr>
            <w:tcW w:w="4023" w:type="pct"/>
          </w:tcPr>
          <w:p w14:paraId="38DD73F6">
            <w:pPr>
              <w:spacing w:line="360" w:lineRule="auto"/>
              <w:rPr>
                <w:rFonts w:ascii="Times New Roman Regular" w:hAnsi="Times New Roman Regular" w:eastAsia="Songti SC Regular" w:cs="Times New Roman Regular"/>
                <w:sz w:val="15"/>
                <w:szCs w:val="15"/>
                <w:lang w:eastAsia="zh-Hans"/>
              </w:rPr>
            </w:pPr>
            <w:r>
              <w:rPr>
                <w:rFonts w:ascii="Times New Roman Regular" w:hAnsi="Times New Roman Regular" w:eastAsia="Songti SC Regular" w:cs="Times New Roman Regular"/>
                <w:sz w:val="15"/>
                <w:szCs w:val="15"/>
                <w:lang w:bidi="ar"/>
              </w:rPr>
              <w:t>5.3.1指导患者可通过含铁丰富的食物或遵医嘱使用口服铁剂进行补充，对于不耐受口服铁补充剂的患者可遵医嘱采用胃肠外补铁，定期门诊随访。</w:t>
            </w:r>
          </w:p>
        </w:tc>
      </w:tr>
      <w:tr w14:paraId="608FD7D4">
        <w:trPr>
          <w:trHeight w:val="90" w:hRule="atLeast"/>
        </w:trPr>
        <w:tc>
          <w:tcPr>
            <w:tcW w:w="481" w:type="pct"/>
            <w:vMerge w:val="continue"/>
          </w:tcPr>
          <w:p w14:paraId="1C3D5024">
            <w:pPr>
              <w:spacing w:line="360" w:lineRule="auto"/>
              <w:rPr>
                <w:rFonts w:ascii="Times New Roman Regular" w:hAnsi="Times New Roman Regular" w:eastAsia="Songti SC Regular" w:cs="Times New Roman Regular"/>
                <w:sz w:val="15"/>
                <w:szCs w:val="15"/>
                <w:lang w:bidi="ar"/>
              </w:rPr>
            </w:pPr>
          </w:p>
        </w:tc>
        <w:tc>
          <w:tcPr>
            <w:tcW w:w="495" w:type="pct"/>
            <w:vMerge w:val="restart"/>
          </w:tcPr>
          <w:p w14:paraId="4B88A398">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5.4喂养障碍</w:t>
            </w:r>
          </w:p>
        </w:tc>
        <w:tc>
          <w:tcPr>
            <w:tcW w:w="4023" w:type="pct"/>
          </w:tcPr>
          <w:p w14:paraId="0E0C8D3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5.4.1在RDEB、JEB患者中，常发生食管狭窄，注意观察患者在吞咽时是否发生障碍，可表现为（如吐口水、进食呛咳）。</w:t>
            </w:r>
          </w:p>
        </w:tc>
      </w:tr>
      <w:tr w14:paraId="168CBECE">
        <w:trPr>
          <w:trHeight w:val="187" w:hRule="atLeast"/>
        </w:trPr>
        <w:tc>
          <w:tcPr>
            <w:tcW w:w="481" w:type="pct"/>
            <w:vMerge w:val="continue"/>
          </w:tcPr>
          <w:p w14:paraId="436453A3">
            <w:pPr>
              <w:spacing w:line="360" w:lineRule="auto"/>
              <w:rPr>
                <w:rFonts w:ascii="Times New Roman Regular" w:hAnsi="Times New Roman Regular" w:eastAsia="Songti SC Regular" w:cs="Times New Roman Regular"/>
                <w:sz w:val="15"/>
                <w:szCs w:val="15"/>
              </w:rPr>
            </w:pPr>
          </w:p>
        </w:tc>
        <w:tc>
          <w:tcPr>
            <w:tcW w:w="495" w:type="pct"/>
            <w:vMerge w:val="continue"/>
          </w:tcPr>
          <w:p w14:paraId="20AD6D2A">
            <w:pPr>
              <w:spacing w:line="360" w:lineRule="auto"/>
              <w:rPr>
                <w:rFonts w:ascii="Times New Roman Regular" w:hAnsi="Times New Roman Regular" w:eastAsia="Songti SC Regular" w:cs="Times New Roman Regular"/>
                <w:sz w:val="15"/>
                <w:szCs w:val="15"/>
              </w:rPr>
            </w:pPr>
          </w:p>
        </w:tc>
        <w:tc>
          <w:tcPr>
            <w:tcW w:w="4023" w:type="pct"/>
          </w:tcPr>
          <w:p w14:paraId="432E61B9">
            <w:pPr>
              <w:spacing w:line="360" w:lineRule="auto"/>
              <w:rPr>
                <w:rFonts w:ascii="Times New Roman Regular" w:hAnsi="Times New Roman Regular" w:eastAsia="Songti SC Regular" w:cs="Times New Roman Regular"/>
                <w:sz w:val="15"/>
                <w:szCs w:val="15"/>
                <w:lang w:eastAsia="zh-Hans"/>
              </w:rPr>
            </w:pPr>
            <w:r>
              <w:rPr>
                <w:rFonts w:ascii="Times New Roman Regular" w:hAnsi="Times New Roman Regular" w:eastAsia="Songti SC Regular" w:cs="Times New Roman Regular"/>
                <w:sz w:val="15"/>
                <w:szCs w:val="15"/>
                <w:lang w:bidi="ar"/>
              </w:rPr>
              <w:t>5.4.2对于尚可吞咽的患者，可将食物打碎或添加肠内营养粉。对于严重吞咽困难者，应及时转介至专科医生处评估是否需行食管扩张术。</w:t>
            </w:r>
          </w:p>
        </w:tc>
      </w:tr>
      <w:tr w14:paraId="3F3CFAD4">
        <w:trPr>
          <w:trHeight w:val="187" w:hRule="atLeast"/>
        </w:trPr>
        <w:tc>
          <w:tcPr>
            <w:tcW w:w="481" w:type="pct"/>
            <w:vMerge w:val="restart"/>
          </w:tcPr>
          <w:p w14:paraId="26F780AE">
            <w:pPr>
              <w:spacing w:line="360" w:lineRule="auto"/>
              <w:rPr>
                <w:rFonts w:ascii="Times New Roman Regular" w:hAnsi="Times New Roman Regular" w:eastAsia="Songti SC Regular" w:cs="Times New Roman Regular"/>
                <w:sz w:val="15"/>
                <w:szCs w:val="15"/>
                <w:lang w:bidi="ar"/>
              </w:rPr>
            </w:pPr>
            <w:r>
              <w:rPr>
                <w:rFonts w:ascii="Times New Roman Regular" w:hAnsi="Times New Roman Regular" w:eastAsia="Songti SC Regular" w:cs="Times New Roman Regular"/>
                <w:sz w:val="15"/>
                <w:szCs w:val="15"/>
                <w:lang w:bidi="ar"/>
              </w:rPr>
              <w:t>6.心理护理</w:t>
            </w:r>
          </w:p>
        </w:tc>
        <w:tc>
          <w:tcPr>
            <w:tcW w:w="495" w:type="pct"/>
            <w:vMerge w:val="restart"/>
          </w:tcPr>
          <w:p w14:paraId="23061525">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6.1患者心理护理</w:t>
            </w:r>
          </w:p>
        </w:tc>
        <w:tc>
          <w:tcPr>
            <w:tcW w:w="4023" w:type="pct"/>
          </w:tcPr>
          <w:p w14:paraId="65518758">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6.1.1定期评估其焦虑、抑郁、孤独感及社会适应情况。可采用适龄化的心理评估工具，结合绘画、游戏、谈话或量表筛查，识别心理风险。</w:t>
            </w:r>
          </w:p>
        </w:tc>
      </w:tr>
      <w:tr w14:paraId="36B72FAD">
        <w:trPr>
          <w:trHeight w:val="187" w:hRule="atLeast"/>
        </w:trPr>
        <w:tc>
          <w:tcPr>
            <w:tcW w:w="481" w:type="pct"/>
            <w:vMerge w:val="continue"/>
          </w:tcPr>
          <w:p w14:paraId="76C3B1E8">
            <w:pPr>
              <w:rPr>
                <w:rFonts w:ascii="Times New Roman Regular" w:hAnsi="Times New Roman Regular" w:eastAsia="Songti SC Regular" w:cs="Times New Roman Regular"/>
                <w:sz w:val="15"/>
                <w:szCs w:val="15"/>
              </w:rPr>
            </w:pPr>
          </w:p>
        </w:tc>
        <w:tc>
          <w:tcPr>
            <w:tcW w:w="495" w:type="pct"/>
            <w:vMerge w:val="continue"/>
          </w:tcPr>
          <w:p w14:paraId="1632E746">
            <w:pPr>
              <w:rPr>
                <w:rFonts w:ascii="Times New Roman Regular" w:hAnsi="Times New Roman Regular" w:eastAsia="Songti SC Regular" w:cs="Times New Roman Regular"/>
                <w:sz w:val="15"/>
                <w:szCs w:val="15"/>
              </w:rPr>
            </w:pPr>
          </w:p>
        </w:tc>
        <w:tc>
          <w:tcPr>
            <w:tcW w:w="4023" w:type="pct"/>
          </w:tcPr>
          <w:p w14:paraId="611580E6">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6.1.2帮助患者正确表达对疼痛、换药和社交的感受，并采用放松训练、音乐疗法等非药物干预以缓解焦虑。对于情绪障碍明显者，应及时转介至心理专科进一步干预。</w:t>
            </w:r>
          </w:p>
        </w:tc>
      </w:tr>
      <w:tr w14:paraId="7D4517DF">
        <w:trPr>
          <w:trHeight w:val="187" w:hRule="atLeast"/>
        </w:trPr>
        <w:tc>
          <w:tcPr>
            <w:tcW w:w="481" w:type="pct"/>
            <w:vMerge w:val="continue"/>
          </w:tcPr>
          <w:p w14:paraId="7DCA664B">
            <w:pPr>
              <w:spacing w:line="360" w:lineRule="auto"/>
              <w:rPr>
                <w:rFonts w:ascii="Times New Roman Regular" w:hAnsi="Times New Roman Regular" w:eastAsia="Songti SC Regular" w:cs="Times New Roman Regular"/>
                <w:sz w:val="15"/>
                <w:szCs w:val="15"/>
                <w:lang w:bidi="ar"/>
              </w:rPr>
            </w:pPr>
          </w:p>
        </w:tc>
        <w:tc>
          <w:tcPr>
            <w:tcW w:w="495" w:type="pct"/>
          </w:tcPr>
          <w:p w14:paraId="7078541F">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6.2社会支持</w:t>
            </w:r>
          </w:p>
        </w:tc>
        <w:tc>
          <w:tcPr>
            <w:tcW w:w="4023" w:type="pct"/>
          </w:tcPr>
          <w:p w14:paraId="477A5B98">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应主动评估患者及家庭的社会支持需求，并积极协助其链接病友互助组织、患者支持协会及其他社会资源，以促进其社会融入。</w:t>
            </w:r>
          </w:p>
        </w:tc>
      </w:tr>
      <w:tr w14:paraId="292AAB52">
        <w:trPr>
          <w:trHeight w:val="187" w:hRule="atLeast"/>
        </w:trPr>
        <w:tc>
          <w:tcPr>
            <w:tcW w:w="481" w:type="pct"/>
            <w:vMerge w:val="restart"/>
          </w:tcPr>
          <w:p w14:paraId="6DB98D27">
            <w:pPr>
              <w:spacing w:line="360" w:lineRule="auto"/>
              <w:rPr>
                <w:rFonts w:ascii="Times New Roman Regular" w:hAnsi="Times New Roman Regular" w:eastAsia="Songti SC Regular" w:cs="Times New Roman Regular"/>
                <w:sz w:val="15"/>
                <w:szCs w:val="15"/>
                <w:lang w:bidi="ar"/>
              </w:rPr>
            </w:pPr>
            <w:r>
              <w:rPr>
                <w:rFonts w:ascii="Times New Roman Regular" w:hAnsi="Times New Roman Regular" w:eastAsia="Songti SC Regular" w:cs="Times New Roman Regular"/>
                <w:sz w:val="15"/>
                <w:szCs w:val="15"/>
                <w:lang w:bidi="ar"/>
              </w:rPr>
              <w:t>7.健康教育</w:t>
            </w:r>
          </w:p>
        </w:tc>
        <w:tc>
          <w:tcPr>
            <w:tcW w:w="495" w:type="pct"/>
            <w:vMerge w:val="restart"/>
          </w:tcPr>
          <w:p w14:paraId="786D010B">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7.1随访频次</w:t>
            </w:r>
          </w:p>
        </w:tc>
        <w:tc>
          <w:tcPr>
            <w:tcW w:w="4023" w:type="pct"/>
          </w:tcPr>
          <w:p w14:paraId="69FBCE15">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7.1.1对于轻度  EB  亚型，如局部EBS或轻度显性遗传DEB，婴儿期随访宜为每 3</w:t>
            </w:r>
            <w:r>
              <w:rPr>
                <w:rFonts w:ascii="Times New Roman Regular" w:hAnsi="Times New Roman Regular" w:eastAsia="Songti SC Regular" w:cs="Times New Roman Regular"/>
                <w:sz w:val="15"/>
                <w:szCs w:val="15"/>
                <w:lang w:bidi="ar"/>
              </w:rPr>
              <w:noBreakHyphen/>
            </w:r>
            <w:r>
              <w:rPr>
                <w:rFonts w:ascii="Times New Roman Regular" w:hAnsi="Times New Roman Regular" w:eastAsia="Songti SC Regular" w:cs="Times New Roman Regular"/>
                <w:sz w:val="15"/>
                <w:szCs w:val="15"/>
                <w:lang w:bidi="ar"/>
              </w:rPr>
              <w:t>6 个月一次；儿童期后宜每年进行一次随访。</w:t>
            </w:r>
          </w:p>
        </w:tc>
      </w:tr>
      <w:tr w14:paraId="79CE569F">
        <w:trPr>
          <w:trHeight w:val="187" w:hRule="atLeast"/>
        </w:trPr>
        <w:tc>
          <w:tcPr>
            <w:tcW w:w="481" w:type="pct"/>
            <w:vMerge w:val="continue"/>
          </w:tcPr>
          <w:p w14:paraId="111FDC55">
            <w:pPr>
              <w:rPr>
                <w:rFonts w:ascii="Times New Roman Regular" w:hAnsi="Times New Roman Regular" w:eastAsia="Songti SC Regular" w:cs="Times New Roman Regular"/>
                <w:sz w:val="15"/>
                <w:szCs w:val="15"/>
              </w:rPr>
            </w:pPr>
          </w:p>
        </w:tc>
        <w:tc>
          <w:tcPr>
            <w:tcW w:w="495" w:type="pct"/>
            <w:vMerge w:val="continue"/>
          </w:tcPr>
          <w:p w14:paraId="12656F6B">
            <w:pPr>
              <w:rPr>
                <w:rFonts w:ascii="Times New Roman Regular" w:hAnsi="Times New Roman Regular" w:eastAsia="Songti SC Regular" w:cs="Times New Roman Regular"/>
                <w:sz w:val="15"/>
                <w:szCs w:val="15"/>
              </w:rPr>
            </w:pPr>
          </w:p>
        </w:tc>
        <w:tc>
          <w:tcPr>
            <w:tcW w:w="4023" w:type="pct"/>
          </w:tcPr>
          <w:p w14:paraId="30E0F932">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7.1.2重型EB患者宜每3-6个月就诊1次，如重度、泛发性隐性遗传DEB或JEB，婴儿期宜每三个月一次；儿童期后应至少每年两次随访，16岁后宜每3个月进行一次随访，警惕鳞状细胞癌。</w:t>
            </w:r>
          </w:p>
        </w:tc>
      </w:tr>
      <w:tr w14:paraId="1513B8C5">
        <w:trPr>
          <w:trHeight w:val="187" w:hRule="atLeast"/>
        </w:trPr>
        <w:tc>
          <w:tcPr>
            <w:tcW w:w="481" w:type="pct"/>
            <w:vMerge w:val="continue"/>
          </w:tcPr>
          <w:p w14:paraId="43622E98">
            <w:pPr>
              <w:spacing w:line="360" w:lineRule="auto"/>
              <w:rPr>
                <w:rFonts w:ascii="Times New Roman Regular" w:hAnsi="Times New Roman Regular" w:eastAsia="Songti SC Regular" w:cs="Times New Roman Regular"/>
                <w:sz w:val="15"/>
                <w:szCs w:val="15"/>
                <w:lang w:bidi="ar"/>
              </w:rPr>
            </w:pPr>
          </w:p>
        </w:tc>
        <w:tc>
          <w:tcPr>
            <w:tcW w:w="495" w:type="pct"/>
            <w:vMerge w:val="restart"/>
          </w:tcPr>
          <w:p w14:paraId="588AC1C9">
            <w:pPr>
              <w:spacing w:line="360" w:lineRule="auto"/>
              <w:rPr>
                <w:rFonts w:ascii="Times New Roman Regular" w:hAnsi="Times New Roman Regular" w:eastAsia="Songti SC Regular" w:cs="Times New Roman Regular"/>
                <w:sz w:val="15"/>
                <w:szCs w:val="15"/>
              </w:rPr>
            </w:pPr>
            <w:r>
              <w:rPr>
                <w:rFonts w:ascii="Times New Roman Regular" w:hAnsi="Times New Roman Regular" w:eastAsia="Songti SC Regular" w:cs="Times New Roman Regular"/>
                <w:sz w:val="15"/>
                <w:szCs w:val="15"/>
                <w:lang w:bidi="ar"/>
              </w:rPr>
              <w:t>7.2随访内容</w:t>
            </w:r>
          </w:p>
        </w:tc>
        <w:tc>
          <w:tcPr>
            <w:tcW w:w="4023" w:type="pct"/>
          </w:tcPr>
          <w:p w14:paraId="02D60C08">
            <w:pPr>
              <w:spacing w:line="360" w:lineRule="auto"/>
              <w:rPr>
                <w:rFonts w:ascii="Times New Roman Regular" w:hAnsi="Times New Roman Regular" w:eastAsia="Songti SC Regular" w:cs="Times New Roman Regular"/>
                <w:sz w:val="15"/>
                <w:szCs w:val="15"/>
                <w:lang w:eastAsia="zh-Hans"/>
              </w:rPr>
            </w:pPr>
            <w:r>
              <w:rPr>
                <w:rFonts w:ascii="Times New Roman Regular" w:hAnsi="Times New Roman Regular" w:eastAsia="Songti SC Regular" w:cs="Times New Roman Regular"/>
                <w:sz w:val="15"/>
                <w:szCs w:val="15"/>
                <w:lang w:bidi="ar"/>
              </w:rPr>
              <w:t>7.2.1患者全身伤口皮肤情况（部位、大小、数量及愈合情况等）检查敷料应用是否合理，观察换药时疼痛程度与关节活动度，并监测营养状况和心理健康水平。</w:t>
            </w:r>
          </w:p>
        </w:tc>
      </w:tr>
      <w:tr w14:paraId="28E71405">
        <w:trPr>
          <w:trHeight w:val="187" w:hRule="atLeast"/>
        </w:trPr>
        <w:tc>
          <w:tcPr>
            <w:tcW w:w="481" w:type="pct"/>
            <w:vMerge w:val="continue"/>
            <w:tcBorders>
              <w:bottom w:val="single" w:color="auto" w:sz="12" w:space="0"/>
            </w:tcBorders>
          </w:tcPr>
          <w:p w14:paraId="13D44A3C">
            <w:pPr>
              <w:rPr>
                <w:rFonts w:ascii="Times New Roman Regular" w:hAnsi="Times New Roman Regular" w:eastAsia="Songti SC Regular" w:cs="Times New Roman Regular"/>
                <w:sz w:val="15"/>
                <w:szCs w:val="15"/>
              </w:rPr>
            </w:pPr>
          </w:p>
        </w:tc>
        <w:tc>
          <w:tcPr>
            <w:tcW w:w="495" w:type="pct"/>
            <w:vMerge w:val="continue"/>
            <w:tcBorders>
              <w:bottom w:val="single" w:color="auto" w:sz="12" w:space="0"/>
            </w:tcBorders>
          </w:tcPr>
          <w:p w14:paraId="33D66AC5">
            <w:pPr>
              <w:rPr>
                <w:rFonts w:ascii="Times New Roman Regular" w:hAnsi="Times New Roman Regular" w:eastAsia="Songti SC Regular" w:cs="Times New Roman Regular"/>
                <w:sz w:val="15"/>
                <w:szCs w:val="15"/>
              </w:rPr>
            </w:pPr>
          </w:p>
        </w:tc>
        <w:tc>
          <w:tcPr>
            <w:tcW w:w="4023" w:type="pct"/>
            <w:tcBorders>
              <w:bottom w:val="single" w:color="auto" w:sz="12" w:space="0"/>
            </w:tcBorders>
          </w:tcPr>
          <w:p w14:paraId="71E692B6">
            <w:pPr>
              <w:widowControl/>
              <w:rPr>
                <w:rFonts w:ascii="Times New Roman Regular" w:hAnsi="Times New Roman Regular" w:eastAsia="Songti SC Regular" w:cs="Times New Roman Regular"/>
                <w:sz w:val="15"/>
                <w:szCs w:val="15"/>
                <w:lang w:eastAsia="zh-Hans"/>
              </w:rPr>
            </w:pPr>
            <w:r>
              <w:rPr>
                <w:rFonts w:ascii="Times New Roman Regular" w:hAnsi="Times New Roman Regular" w:eastAsia="Songti SC Regular" w:cs="Times New Roman Regular"/>
                <w:sz w:val="15"/>
                <w:szCs w:val="15"/>
                <w:lang w:bidi="ar"/>
              </w:rPr>
              <w:t>7.2.2随访中，应向患者及护理人员提供系统化、结构化的健康教育，可采用宣教手册、操作演示、视频教学等多种方式。</w:t>
            </w:r>
          </w:p>
        </w:tc>
      </w:tr>
    </w:tbl>
    <w:p w14:paraId="13073E0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Songti SC Regular">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5D5F64"/>
    <w:rsid w:val="9F5D5F64"/>
    <w:rsid w:val="BF982E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DengXian" w:hAnsi="DengXian" w:eastAsia="DengXian" w:cs="Times New Roman"/>
      <w:kern w:val="2"/>
      <w:sz w:val="21"/>
      <w:szCs w:val="21"/>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2025-10-16T22:05:00Z</dcterms:created>
  <dc:creator>零</dc:creator>
  <cp:lastModifiedBy>零</cp:lastModifiedBy>
  <dcterms:modified xsi:type="dcterms:W3CDTF">2025-10-16T14:26:20Z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AEF2D2A8320517C7138BF068CE1389B9_41</vt:lpwstr>
  </property>
</Properties>
</file>