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26E9F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jc w:val="center"/>
        <w:rPr>
          <w:rStyle w:val="6"/>
          <w:rFonts w:hint="eastAsia" w:ascii="Songti SC Bold" w:hAnsi="Songti SC Bold" w:eastAsia="Songti SC Bold" w:cs="Songti SC Bold"/>
          <w:b/>
          <w:bCs w:val="0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Style w:val="6"/>
          <w:rFonts w:hint="eastAsia" w:ascii="Songti SC Bold" w:hAnsi="Songti SC Bold" w:eastAsia="Songti SC Bold" w:cs="Songti SC Bold"/>
          <w:b/>
          <w:bCs w:val="0"/>
          <w:i w:val="0"/>
          <w:iCs w:val="0"/>
          <w:caps w:val="0"/>
          <w:color w:val="0F1115"/>
          <w:spacing w:val="0"/>
          <w:sz w:val="32"/>
          <w:szCs w:val="32"/>
          <w:u w:val="none"/>
        </w:rPr>
        <w:t>EB患儿居家换药操作核查表（临床</w:t>
      </w:r>
      <w:r>
        <w:rPr>
          <w:rStyle w:val="6"/>
          <w:rFonts w:hint="eastAsia" w:ascii="Songti SC Bold" w:hAnsi="Songti SC Bold" w:eastAsia="Songti SC Bold" w:cs="Songti SC Bold"/>
          <w:b/>
          <w:bCs w:val="0"/>
          <w:i w:val="0"/>
          <w:iCs w:val="0"/>
          <w:caps w:val="0"/>
          <w:color w:val="0F1115"/>
          <w:spacing w:val="0"/>
          <w:sz w:val="32"/>
          <w:szCs w:val="32"/>
          <w:u w:val="none"/>
          <w:lang w:val="en-US" w:eastAsia="zh-CN"/>
        </w:rPr>
        <w:t>评价</w:t>
      </w:r>
      <w:r>
        <w:rPr>
          <w:rStyle w:val="6"/>
          <w:rFonts w:hint="eastAsia" w:ascii="Songti SC Bold" w:hAnsi="Songti SC Bold" w:eastAsia="Songti SC Bold" w:cs="Songti SC Bold"/>
          <w:b/>
          <w:bCs w:val="0"/>
          <w:i w:val="0"/>
          <w:iCs w:val="0"/>
          <w:caps w:val="0"/>
          <w:color w:val="0F1115"/>
          <w:spacing w:val="0"/>
          <w:sz w:val="32"/>
          <w:szCs w:val="32"/>
          <w:u w:val="none"/>
        </w:rPr>
        <w:t>版）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996"/>
        <w:gridCol w:w="1759"/>
        <w:gridCol w:w="1351"/>
      </w:tblGrid>
      <w:tr w14:paraId="22FDA0B7">
        <w:tc>
          <w:tcPr>
            <w:tcW w:w="0" w:type="auto"/>
            <w:vAlign w:val="top"/>
          </w:tcPr>
          <w:p w14:paraId="5FE425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阶段</w:t>
            </w:r>
          </w:p>
        </w:tc>
        <w:tc>
          <w:tcPr>
            <w:tcW w:w="3996" w:type="dxa"/>
            <w:vAlign w:val="top"/>
          </w:tcPr>
          <w:p w14:paraId="22A68D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核心操作步骤与评分标准</w:t>
            </w:r>
          </w:p>
        </w:tc>
        <w:tc>
          <w:tcPr>
            <w:tcW w:w="1759" w:type="dxa"/>
            <w:vAlign w:val="top"/>
          </w:tcPr>
          <w:p w14:paraId="2B42E67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评分</w:t>
            </w:r>
          </w:p>
        </w:tc>
        <w:tc>
          <w:tcPr>
            <w:tcW w:w="1351" w:type="dxa"/>
            <w:vAlign w:val="top"/>
          </w:tcPr>
          <w:p w14:paraId="002203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备注/观察记录</w:t>
            </w:r>
          </w:p>
        </w:tc>
      </w:tr>
      <w:tr w14:paraId="12A9D664">
        <w:tc>
          <w:tcPr>
            <w:tcW w:w="1416" w:type="dxa"/>
            <w:vMerge w:val="restart"/>
            <w:vAlign w:val="top"/>
          </w:tcPr>
          <w:p w14:paraId="5064A9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准备阶段</w:t>
            </w:r>
          </w:p>
        </w:tc>
        <w:tc>
          <w:tcPr>
            <w:tcW w:w="3996" w:type="dxa"/>
            <w:vAlign w:val="top"/>
          </w:tcPr>
          <w:p w14:paraId="1A33CA3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1.环境准备：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(2分) 操作台面宽阔、光线明亮，已用消毒液擦拭并待干。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仅完成擦拭，但光线或空间不佳。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未擦拭或环境明显不洁。</w:t>
            </w:r>
          </w:p>
          <w:p w14:paraId="7CDE9DD9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42D77A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1E06006A">
            <w:pPr>
              <w:rPr>
                <w:rFonts w:hint="eastAsia"/>
              </w:rPr>
            </w:pPr>
          </w:p>
        </w:tc>
      </w:tr>
      <w:tr w14:paraId="15072550">
        <w:tc>
          <w:tcPr>
            <w:tcW w:w="1416" w:type="dxa"/>
            <w:vMerge w:val="continue"/>
            <w:vAlign w:val="top"/>
          </w:tcPr>
          <w:p w14:paraId="28BF7915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4238B9D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2.物品准备：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(2分) 所有物品一次性备齐，均在有效期内，敷料已按预估大小裁剪。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物品基本备齐，但遗漏1-2项非核心物品（如垃圾袋）。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遗漏核心物品（如敷料、盐水）或中途离开取物。</w:t>
            </w:r>
          </w:p>
          <w:p w14:paraId="4C3D3355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3C71DCC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62C103A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列出遗漏物品（如有）：_________</w:t>
            </w:r>
          </w:p>
          <w:p w14:paraId="7C956189">
            <w:pPr>
              <w:rPr>
                <w:rFonts w:hint="eastAsia"/>
              </w:rPr>
            </w:pPr>
          </w:p>
        </w:tc>
      </w:tr>
      <w:tr w14:paraId="5DB51867">
        <w:trPr>
          <w:trHeight w:val="825" w:hRule="atLeast"/>
        </w:trPr>
        <w:tc>
          <w:tcPr>
            <w:tcW w:w="1416" w:type="dxa"/>
            <w:vMerge w:val="continue"/>
            <w:vAlign w:val="top"/>
          </w:tcPr>
          <w:p w14:paraId="40804731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04F97D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人员准备 - 手卫生：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(2分) 采用七步洗手法，使用流动水和洗手液，洗手时间≥40秒。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步骤或时间明显不足。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未洗手或仅快速冲洗。</w:t>
            </w:r>
          </w:p>
          <w:p w14:paraId="2DB3C23C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759" w:type="dxa"/>
            <w:vAlign w:val="top"/>
          </w:tcPr>
          <w:p w14:paraId="18F341E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4F26EAF5">
            <w:pPr>
              <w:rPr>
                <w:rFonts w:hint="eastAsia"/>
                <w:lang w:val="en-US" w:eastAsia="zh-CN"/>
              </w:rPr>
            </w:pPr>
          </w:p>
          <w:p w14:paraId="238BBDBD">
            <w:pPr>
              <w:rPr>
                <w:rFonts w:hint="eastAsia"/>
                <w:lang w:val="en-US" w:eastAsia="zh-CN"/>
              </w:rPr>
            </w:pPr>
          </w:p>
          <w:p w14:paraId="1AC133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计时：____秒</w:t>
            </w:r>
          </w:p>
          <w:p w14:paraId="255D8672">
            <w:pPr>
              <w:rPr>
                <w:rFonts w:hint="eastAsia"/>
                <w:lang w:val="en-US" w:eastAsia="zh-CN"/>
              </w:rPr>
            </w:pPr>
          </w:p>
        </w:tc>
      </w:tr>
      <w:tr w14:paraId="763FA868">
        <w:tc>
          <w:tcPr>
            <w:tcW w:w="1416" w:type="dxa"/>
            <w:vMerge w:val="continue"/>
            <w:vAlign w:val="top"/>
          </w:tcPr>
          <w:p w14:paraId="10ECB443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226CE7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eastAsia"/>
              </w:rPr>
              <w:t>人员准备 - 佩戴口罩：</w:t>
            </w:r>
          </w:p>
          <w:p w14:paraId="243081B0">
            <w:pPr>
              <w:rPr>
                <w:rFonts w:hint="eastAsia"/>
              </w:rPr>
            </w:pPr>
            <w:r>
              <w:rPr>
                <w:rFonts w:hint="eastAsia"/>
              </w:rPr>
              <w:t>□ (1分) 全程规范佩戴。</w:t>
            </w:r>
          </w:p>
          <w:p w14:paraId="21898DB2">
            <w:pPr>
              <w:rPr>
                <w:rFonts w:hint="eastAsia"/>
              </w:rPr>
            </w:pPr>
            <w:r>
              <w:rPr>
                <w:rFonts w:hint="eastAsia"/>
              </w:rPr>
              <w:t>□ (0分) 未佩戴或佩戴不规范（如露出鼻孔）。</w:t>
            </w:r>
          </w:p>
          <w:p w14:paraId="785729FC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18B2E7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□1 □0</w:t>
            </w:r>
          </w:p>
        </w:tc>
        <w:tc>
          <w:tcPr>
            <w:tcW w:w="1351" w:type="dxa"/>
            <w:vAlign w:val="top"/>
          </w:tcPr>
          <w:p w14:paraId="737F5259">
            <w:pPr>
              <w:rPr>
                <w:rFonts w:hint="eastAsia"/>
                <w:lang w:val="en-US" w:eastAsia="zh-CN"/>
              </w:rPr>
            </w:pPr>
          </w:p>
        </w:tc>
      </w:tr>
      <w:tr w14:paraId="0136FA65">
        <w:tc>
          <w:tcPr>
            <w:tcW w:w="0" w:type="auto"/>
            <w:vMerge w:val="restart"/>
            <w:vAlign w:val="top"/>
          </w:tcPr>
          <w:p w14:paraId="4A5352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去除旧敷料</w:t>
            </w:r>
          </w:p>
        </w:tc>
        <w:tc>
          <w:tcPr>
            <w:tcW w:w="3996" w:type="dxa"/>
            <w:vAlign w:val="top"/>
          </w:tcPr>
          <w:p w14:paraId="116B9B8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5.手部消毒：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洗手后，使用足量快速手消毒液再次消毒双手。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未执行。</w:t>
            </w:r>
          </w:p>
          <w:p w14:paraId="49A2EF70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2168599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□1 □0</w:t>
            </w:r>
          </w:p>
        </w:tc>
        <w:tc>
          <w:tcPr>
            <w:tcW w:w="1351" w:type="dxa"/>
            <w:vAlign w:val="top"/>
          </w:tcPr>
          <w:p w14:paraId="23CB47B6">
            <w:pPr>
              <w:rPr>
                <w:rFonts w:hint="eastAsia"/>
              </w:rPr>
            </w:pPr>
          </w:p>
        </w:tc>
      </w:tr>
      <w:tr w14:paraId="46F19570">
        <w:tc>
          <w:tcPr>
            <w:tcW w:w="0" w:type="auto"/>
            <w:vMerge w:val="continue"/>
            <w:vAlign w:val="top"/>
          </w:tcPr>
          <w:p w14:paraId="5ACC8717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7553AA3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6.软化敷料：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(2分) 对粘连区域充分使用生理盐水浸湿，等待≥1分钟。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有浸湿动作，但时间不足或范围不够。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未尝试软化，直接撕扯。</w:t>
            </w:r>
          </w:p>
          <w:p w14:paraId="5A69DD0D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26E7C19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1E8103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记录软化时长：____分钟</w:t>
            </w:r>
          </w:p>
          <w:p w14:paraId="240EBCDB">
            <w:pPr>
              <w:rPr>
                <w:rFonts w:hint="eastAsia"/>
              </w:rPr>
            </w:pPr>
          </w:p>
        </w:tc>
      </w:tr>
      <w:tr w14:paraId="7CA1A2E2">
        <w:tc>
          <w:tcPr>
            <w:tcW w:w="0" w:type="auto"/>
            <w:vMerge w:val="continue"/>
            <w:vAlign w:val="top"/>
          </w:tcPr>
          <w:p w14:paraId="77A6261C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317B08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7.轻柔去除：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(2分) 动作极其轻柔，沿皮肤平行方向缓慢揭除，密切关注患儿反应并及时安抚。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动作尚可，但有1-2次突然用力或引起患儿明显哭闹。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动作粗暴，导致皮肤二次损伤。</w:t>
            </w:r>
          </w:p>
          <w:p w14:paraId="607AFC75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3FBB132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74CEE27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记录患儿反应：□平静 □轻微哭闹 □剧烈哭闹</w:t>
            </w:r>
          </w:p>
          <w:p w14:paraId="049A8BF2">
            <w:pPr>
              <w:rPr>
                <w:rFonts w:hint="eastAsia"/>
              </w:rPr>
            </w:pPr>
          </w:p>
        </w:tc>
      </w:tr>
      <w:tr w14:paraId="40701447">
        <w:tc>
          <w:tcPr>
            <w:tcW w:w="0" w:type="auto"/>
            <w:vMerge w:val="continue"/>
            <w:vAlign w:val="top"/>
          </w:tcPr>
          <w:p w14:paraId="2FD3BF5A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4F68E9A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8.敷料处理：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旧敷料直接放入专用医疗垃圾袋（或厚实密封袋）。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随意放置或污染环境。</w:t>
            </w:r>
          </w:p>
          <w:p w14:paraId="6B131326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05411BC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□1 □0</w:t>
            </w:r>
          </w:p>
        </w:tc>
        <w:tc>
          <w:tcPr>
            <w:tcW w:w="1351" w:type="dxa"/>
            <w:vAlign w:val="top"/>
          </w:tcPr>
          <w:p w14:paraId="12B6F299">
            <w:pPr>
              <w:rPr>
                <w:rFonts w:hint="eastAsia"/>
              </w:rPr>
            </w:pPr>
          </w:p>
        </w:tc>
      </w:tr>
      <w:tr w14:paraId="0F8CB6C7">
        <w:tc>
          <w:tcPr>
            <w:tcW w:w="0" w:type="auto"/>
            <w:vMerge w:val="restart"/>
            <w:vAlign w:val="top"/>
          </w:tcPr>
          <w:p w14:paraId="118047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伤口处理</w:t>
            </w:r>
          </w:p>
        </w:tc>
        <w:tc>
          <w:tcPr>
            <w:tcW w:w="3996" w:type="dxa"/>
            <w:vAlign w:val="top"/>
          </w:tcPr>
          <w:p w14:paraId="08A7FC0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9.戴无菌手套：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方法正确，手未接触手套外侧。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污染手套或未佩戴</w:t>
            </w:r>
          </w:p>
          <w:p w14:paraId="4671331A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235C19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1B06B835">
            <w:pPr>
              <w:rPr>
                <w:rFonts w:hint="eastAsia"/>
              </w:rPr>
            </w:pPr>
          </w:p>
        </w:tc>
      </w:tr>
      <w:tr w14:paraId="01E140FC">
        <w:tc>
          <w:tcPr>
            <w:tcW w:w="0" w:type="auto"/>
            <w:vMerge w:val="continue"/>
            <w:vAlign w:val="top"/>
          </w:tcPr>
          <w:p w14:paraId="205F3FC8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3DC60C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伤口清洁 - 技术：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(2分) 使用无菌镊子夹取盐水纱布，或用注射器脉冲式冲洗。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直接用手持纱布擦拭，但方向正确（中心→外周）。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来回擦拭或方向错误。</w:t>
            </w:r>
          </w:p>
          <w:p w14:paraId="69EAD446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759" w:type="dxa"/>
            <w:vAlign w:val="top"/>
          </w:tcPr>
          <w:p w14:paraId="76B03B2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48C61C4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清洁方式：□冲洗 □擦拭</w:t>
            </w:r>
          </w:p>
          <w:p w14:paraId="1F9AEFE8">
            <w:pPr>
              <w:rPr>
                <w:rFonts w:hint="eastAsia"/>
              </w:rPr>
            </w:pPr>
          </w:p>
        </w:tc>
      </w:tr>
      <w:tr w14:paraId="61259890">
        <w:tc>
          <w:tcPr>
            <w:tcW w:w="0" w:type="auto"/>
            <w:vMerge w:val="continue"/>
            <w:vAlign w:val="top"/>
          </w:tcPr>
          <w:p w14:paraId="16CA394C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273574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伤口清洁 - 效果：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伤口床无明显残留渗液或旧药膏。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清洁不彻底。</w:t>
            </w:r>
          </w:p>
          <w:p w14:paraId="37EAE10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759" w:type="dxa"/>
            <w:vAlign w:val="top"/>
          </w:tcPr>
          <w:p w14:paraId="025821D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□1 □0</w:t>
            </w:r>
          </w:p>
        </w:tc>
        <w:tc>
          <w:tcPr>
            <w:tcW w:w="1351" w:type="dxa"/>
            <w:vAlign w:val="top"/>
          </w:tcPr>
          <w:p w14:paraId="22D7BA7F">
            <w:pPr>
              <w:rPr>
                <w:rFonts w:hint="eastAsia"/>
              </w:rPr>
            </w:pPr>
          </w:p>
        </w:tc>
      </w:tr>
      <w:tr w14:paraId="36708C8D">
        <w:tc>
          <w:tcPr>
            <w:tcW w:w="0" w:type="auto"/>
            <w:vMerge w:val="continue"/>
            <w:vAlign w:val="top"/>
          </w:tcPr>
          <w:p w14:paraId="29BD5685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5AAD457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12.伤口评估：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(2分) 操作中有明确的观察动作（如凑近看、闻），并能在事后口头描述伤口情况。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有观察动作，但无法描述。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未观察。</w:t>
            </w:r>
          </w:p>
          <w:p w14:paraId="4DF9C063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2048C32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32031A5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记录其口头描述要点：_________</w:t>
            </w:r>
          </w:p>
          <w:p w14:paraId="4925B1A9">
            <w:pPr>
              <w:rPr>
                <w:rFonts w:hint="eastAsia"/>
              </w:rPr>
            </w:pPr>
          </w:p>
        </w:tc>
      </w:tr>
      <w:tr w14:paraId="5EA23FFF">
        <w:tc>
          <w:tcPr>
            <w:tcW w:w="0" w:type="auto"/>
            <w:vMerge w:val="continue"/>
            <w:vAlign w:val="top"/>
          </w:tcPr>
          <w:p w14:paraId="4B328C95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199F149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13.水疱处理（如适用）：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(2分) 无菌针头从水疱最低点刺破，保留疱皮，轻轻按压排液。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刺破位置不佳或疱皮部分撕脱。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未保留疱皮或使用非无菌工具。</w:t>
            </w:r>
          </w:p>
          <w:p w14:paraId="473355D4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56844C4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76EA820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水疱大小/位置：_________</w:t>
            </w:r>
          </w:p>
          <w:p w14:paraId="342DEFC9">
            <w:pPr>
              <w:rPr>
                <w:rFonts w:hint="eastAsia"/>
              </w:rPr>
            </w:pPr>
          </w:p>
        </w:tc>
      </w:tr>
      <w:tr w14:paraId="06A86EFC">
        <w:tc>
          <w:tcPr>
            <w:tcW w:w="0" w:type="auto"/>
            <w:vMerge w:val="restart"/>
            <w:vAlign w:val="top"/>
          </w:tcPr>
          <w:p w14:paraId="52E1EC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更换新敷料</w:t>
            </w:r>
          </w:p>
        </w:tc>
        <w:tc>
          <w:tcPr>
            <w:tcW w:w="3996" w:type="dxa"/>
            <w:vAlign w:val="top"/>
          </w:tcPr>
          <w:p w14:paraId="0318528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14.手卫生/换手套：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(关键步骤 2分) 在处理新敷料前，严格执行：更换新手套或再次进行手消毒。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 未执行，直接接触新敷料。 （此项为否决项，若未做则总分不合格）</w:t>
            </w:r>
          </w:p>
          <w:p w14:paraId="1FA98CF1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7EE3DD9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1B91E40F">
            <w:pPr>
              <w:rPr>
                <w:rFonts w:hint="eastAsia"/>
              </w:rPr>
            </w:pPr>
          </w:p>
        </w:tc>
      </w:tr>
      <w:tr w14:paraId="34D9DA5E">
        <w:tc>
          <w:tcPr>
            <w:tcW w:w="0" w:type="auto"/>
            <w:vMerge w:val="continue"/>
            <w:vAlign w:val="top"/>
          </w:tcPr>
          <w:p w14:paraId="0BD1FC36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5CEF3B3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15.使用保护膜：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在伤口周围完整涂抹一圈保护膜，并待其形成透明薄膜。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未使用或使用不当。</w:t>
            </w:r>
          </w:p>
          <w:p w14:paraId="32A612F1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1E8E4D2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4EF3A951">
            <w:pPr>
              <w:rPr>
                <w:rFonts w:hint="eastAsia"/>
              </w:rPr>
            </w:pPr>
          </w:p>
        </w:tc>
      </w:tr>
      <w:tr w14:paraId="28339321">
        <w:tc>
          <w:tcPr>
            <w:tcW w:w="0" w:type="auto"/>
            <w:vMerge w:val="continue"/>
            <w:vAlign w:val="top"/>
          </w:tcPr>
          <w:p w14:paraId="2240B736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5C1246D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16.放置敷料：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(2分) 敷料覆盖完全无褶皱，边缘超出伤口1.5-2cm，与皮肤贴合平整。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有轻微褶皱或边缘距离稍不足（1cm）。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敷料过小或有严重褶皱。</w:t>
            </w:r>
          </w:p>
          <w:p w14:paraId="6E0F4D54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46E31DB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7846B2A3">
            <w:pPr>
              <w:rPr>
                <w:rFonts w:hint="eastAsia"/>
              </w:rPr>
            </w:pPr>
          </w:p>
        </w:tc>
      </w:tr>
      <w:tr w14:paraId="001C1A25">
        <w:tc>
          <w:tcPr>
            <w:tcW w:w="0" w:type="auto"/>
            <w:vMerge w:val="continue"/>
            <w:vAlign w:val="top"/>
          </w:tcPr>
          <w:p w14:paraId="316E59DD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638AD0E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17.妥善固定：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(关键步骤 2分) 使用绷带/弹力网套固定，全程未用胶带直接粘皮肤，松紧度适宜（可插入一指）。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 使用胶带直接粘贴皮肤。 （此项为否决项）</w:t>
            </w:r>
          </w:p>
          <w:p w14:paraId="0B30CA80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4E538D7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2720B98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固定材料：□网套 □绷带 □其他</w:t>
            </w:r>
          </w:p>
          <w:p w14:paraId="6D1B130C">
            <w:pPr>
              <w:rPr>
                <w:rFonts w:hint="eastAsia"/>
              </w:rPr>
            </w:pPr>
          </w:p>
        </w:tc>
      </w:tr>
      <w:tr w14:paraId="4385C1B3">
        <w:tc>
          <w:tcPr>
            <w:tcW w:w="0" w:type="auto"/>
            <w:vMerge w:val="restart"/>
            <w:vAlign w:val="top"/>
          </w:tcPr>
          <w:p w14:paraId="5F673A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结束阶段</w:t>
            </w:r>
          </w:p>
        </w:tc>
        <w:tc>
          <w:tcPr>
            <w:tcW w:w="3996" w:type="dxa"/>
            <w:vAlign w:val="top"/>
          </w:tcPr>
          <w:p w14:paraId="7C812F1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18.用物整理：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所有废弃物妥善封装，台面整理干净。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未整理。</w:t>
            </w:r>
          </w:p>
          <w:p w14:paraId="3C5811D7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73D08DB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□1 □0</w:t>
            </w:r>
          </w:p>
        </w:tc>
        <w:tc>
          <w:tcPr>
            <w:tcW w:w="1351" w:type="dxa"/>
            <w:vAlign w:val="top"/>
          </w:tcPr>
          <w:p w14:paraId="448A7858">
            <w:pPr>
              <w:rPr>
                <w:rFonts w:hint="eastAsia"/>
              </w:rPr>
            </w:pPr>
          </w:p>
        </w:tc>
      </w:tr>
      <w:tr w14:paraId="18F1688B">
        <w:tc>
          <w:tcPr>
            <w:tcW w:w="0" w:type="auto"/>
            <w:vMerge w:val="continue"/>
            <w:vAlign w:val="top"/>
          </w:tcPr>
          <w:p w14:paraId="01E2225B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7D3FFC79">
            <w:pPr>
              <w:rPr>
                <w:rFonts w:hint="eastAsia"/>
              </w:rPr>
            </w:pPr>
          </w:p>
          <w:p w14:paraId="0D56B929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19.终末洗手：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操作结束后，再次用流动水和洗手液彻底洗手。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未执行。</w:t>
            </w:r>
          </w:p>
          <w:p w14:paraId="5B49942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759" w:type="dxa"/>
            <w:vAlign w:val="top"/>
          </w:tcPr>
          <w:p w14:paraId="740097B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26782539">
            <w:pPr>
              <w:rPr>
                <w:rFonts w:hint="eastAsia"/>
              </w:rPr>
            </w:pPr>
          </w:p>
        </w:tc>
      </w:tr>
      <w:tr w14:paraId="53B8F9EC">
        <w:tc>
          <w:tcPr>
            <w:tcW w:w="0" w:type="auto"/>
            <w:vMerge w:val="continue"/>
            <w:vAlign w:val="top"/>
          </w:tcPr>
          <w:p w14:paraId="1886021F">
            <w:pPr>
              <w:rPr>
                <w:rFonts w:hint="eastAsia"/>
              </w:rPr>
            </w:pPr>
          </w:p>
        </w:tc>
        <w:tc>
          <w:tcPr>
            <w:tcW w:w="3996" w:type="dxa"/>
            <w:vAlign w:val="top"/>
          </w:tcPr>
          <w:p w14:paraId="432F526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20.记录与观察：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(1分) 操作后立即在《日记卡》上记录或口头复核关键步骤。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 (0分) 未记录。</w:t>
            </w:r>
          </w:p>
          <w:p w14:paraId="24BF0EC1">
            <w:pPr>
              <w:rPr>
                <w:rFonts w:hint="eastAsia"/>
              </w:rPr>
            </w:pPr>
          </w:p>
        </w:tc>
        <w:tc>
          <w:tcPr>
            <w:tcW w:w="1759" w:type="dxa"/>
            <w:vAlign w:val="top"/>
          </w:tcPr>
          <w:p w14:paraId="7C13281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□2 □1 □0</w:t>
            </w:r>
          </w:p>
        </w:tc>
        <w:tc>
          <w:tcPr>
            <w:tcW w:w="1351" w:type="dxa"/>
            <w:vAlign w:val="top"/>
          </w:tcPr>
          <w:p w14:paraId="2290F1FE">
            <w:pPr>
              <w:rPr>
                <w:rFonts w:hint="eastAsia"/>
              </w:rPr>
            </w:pPr>
          </w:p>
        </w:tc>
      </w:tr>
    </w:tbl>
    <w:p w14:paraId="1A330F73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操作总得分： ____ / 36 分</w:t>
      </w:r>
    </w:p>
    <w:p w14:paraId="660CEBF0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操作总时长： ____ 分钟</w:t>
      </w:r>
    </w:p>
    <w:p w14:paraId="151AC5DA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关键步骤否决项（第14、17项）是否通过： □是 □否 （若任一为“否”，则本次操作总体评价为“不合格”）</w:t>
      </w:r>
    </w:p>
    <w:p w14:paraId="7A80D376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总体操作评级： □优秀 (≥90%) □良好 (75-89%) □合格 (60-74%) □不合格 (&lt;60%或关键项否决)</w:t>
      </w:r>
    </w:p>
    <w:p w14:paraId="3D1F13BE">
      <w:p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研究者观察笔记（关于操作的流畅度、患儿安抚技巧、创新性处理方法等）</w:t>
      </w:r>
    </w:p>
    <w:p w14:paraId="617E33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6861E"/>
    <w:rsid w:val="75F68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2025-11-04T14:19:00Z</dcterms:created>
  <dc:creator>零</dc:creator>
  <cp:lastModifiedBy>零</cp:lastModifiedBy>
  <dcterms:modified xsi:type="dcterms:W3CDTF">2025-11-04T15:37:48Z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301FE3893132D55BD89A096945B6C5EE_41</vt:lpwstr>
  </property>
</Properties>
</file>