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ECFF0" w14:textId="77777777" w:rsidR="00816EA5" w:rsidRPr="006C528A" w:rsidRDefault="00816EA5" w:rsidP="00B6560A">
      <w:pPr>
        <w:tabs>
          <w:tab w:val="right" w:pos="9072"/>
        </w:tabs>
        <w:spacing w:after="0"/>
        <w:ind w:right="-46"/>
        <w:jc w:val="center"/>
        <w:rPr>
          <w:rFonts w:ascii="Times New Roman" w:hAnsi="Times New Roman" w:cs="Times New Roman"/>
          <w:b/>
          <w:sz w:val="20"/>
          <w:szCs w:val="20"/>
        </w:rPr>
      </w:pPr>
      <w:r w:rsidRPr="006C528A">
        <w:rPr>
          <w:rFonts w:ascii="Times New Roman" w:hAnsi="Times New Roman" w:cs="Times New Roman"/>
          <w:b/>
          <w:sz w:val="20"/>
          <w:szCs w:val="20"/>
        </w:rPr>
        <w:t>Ng Chun Xian</w:t>
      </w:r>
    </w:p>
    <w:p w14:paraId="077C095A" w14:textId="77777777" w:rsidR="00816EA5" w:rsidRPr="006C528A" w:rsidRDefault="00816EA5" w:rsidP="00B6560A">
      <w:pPr>
        <w:tabs>
          <w:tab w:val="right" w:pos="9072"/>
        </w:tabs>
        <w:spacing w:after="0"/>
        <w:ind w:right="-46"/>
        <w:jc w:val="center"/>
        <w:rPr>
          <w:rFonts w:ascii="Times New Roman" w:hAnsi="Times New Roman" w:cs="Times New Roman"/>
          <w:b/>
          <w:sz w:val="20"/>
          <w:szCs w:val="20"/>
        </w:rPr>
      </w:pPr>
      <w:r w:rsidRPr="006C528A">
        <w:rPr>
          <w:rFonts w:ascii="Times New Roman" w:hAnsi="Times New Roman" w:cs="Times New Roman"/>
          <w:sz w:val="20"/>
          <w:szCs w:val="20"/>
        </w:rPr>
        <w:t xml:space="preserve">+60 11 2543 3248 | </w:t>
      </w:r>
      <w:r w:rsidR="00EC7C95" w:rsidRPr="006C528A">
        <w:rPr>
          <w:rFonts w:ascii="Times New Roman" w:hAnsi="Times New Roman" w:cs="Times New Roman"/>
          <w:sz w:val="20"/>
          <w:szCs w:val="20"/>
        </w:rPr>
        <w:t>ngcxian</w:t>
      </w:r>
      <w:r w:rsidR="00DD4A6F" w:rsidRPr="006C528A">
        <w:rPr>
          <w:rFonts w:ascii="Times New Roman" w:hAnsi="Times New Roman" w:cs="Times New Roman"/>
          <w:sz w:val="20"/>
          <w:szCs w:val="20"/>
        </w:rPr>
        <w:t>@gmail.com</w:t>
      </w:r>
      <w:hyperlink r:id="rId8" w:history="1"/>
    </w:p>
    <w:p w14:paraId="3C7F6909" w14:textId="77777777" w:rsidR="007058D8" w:rsidRPr="006C528A" w:rsidRDefault="007058D8" w:rsidP="00F56C55">
      <w:pPr>
        <w:tabs>
          <w:tab w:val="right" w:pos="9072"/>
        </w:tabs>
        <w:spacing w:after="0"/>
        <w:ind w:right="-46"/>
        <w:rPr>
          <w:rFonts w:ascii="Times New Roman" w:hAnsi="Times New Roman" w:cs="Times New Roman"/>
          <w:b/>
          <w:sz w:val="20"/>
          <w:szCs w:val="20"/>
        </w:rPr>
      </w:pPr>
    </w:p>
    <w:p w14:paraId="1F047F8F" w14:textId="17717BC1" w:rsidR="009D2EE9" w:rsidRDefault="008C5512" w:rsidP="00A909FA">
      <w:pPr>
        <w:tabs>
          <w:tab w:val="right" w:pos="9072"/>
        </w:tabs>
        <w:spacing w:after="0"/>
        <w:ind w:right="-46"/>
        <w:jc w:val="both"/>
        <w:rPr>
          <w:rFonts w:ascii="Times New Roman" w:hAnsi="Times New Roman" w:cs="Times New Roman"/>
          <w:b/>
          <w:sz w:val="20"/>
          <w:szCs w:val="20"/>
        </w:rPr>
      </w:pPr>
      <w:r w:rsidRPr="008C5512">
        <w:rPr>
          <w:rFonts w:ascii="Times New Roman" w:hAnsi="Times New Roman" w:cs="Times New Roman"/>
          <w:b/>
          <w:sz w:val="20"/>
          <w:szCs w:val="20"/>
        </w:rPr>
        <w:t xml:space="preserve">Seasoned M&amp;A professional with over 10 years of experience leading the origination and execution of complex transactions in investment banking, corporate finance, and M&amp;A advisory. Proven track record in buy-side, sell-side, and strategic advisory mandates across Southeast Asia. Expertise in building and maintaining strong relationships with corporate clients, financial sponsors, and government bodies to drive deal origination and business development. Skilled in managing deal teams, overseeing financial modeling, valuation, and transaction documentation, </w:t>
      </w:r>
      <w:r>
        <w:rPr>
          <w:rFonts w:ascii="Times New Roman" w:hAnsi="Times New Roman" w:cs="Times New Roman"/>
          <w:b/>
          <w:sz w:val="20"/>
          <w:szCs w:val="20"/>
        </w:rPr>
        <w:t>focusing</w:t>
      </w:r>
      <w:r w:rsidRPr="008C5512">
        <w:rPr>
          <w:rFonts w:ascii="Times New Roman" w:hAnsi="Times New Roman" w:cs="Times New Roman"/>
          <w:b/>
          <w:sz w:val="20"/>
          <w:szCs w:val="20"/>
        </w:rPr>
        <w:t xml:space="preserve"> on delivering successful outcomes in high-value, cross-border transactions.</w:t>
      </w:r>
    </w:p>
    <w:p w14:paraId="1D57366D" w14:textId="77777777" w:rsidR="008C5512" w:rsidRPr="006C528A" w:rsidRDefault="008C5512" w:rsidP="00A909FA">
      <w:pPr>
        <w:tabs>
          <w:tab w:val="right" w:pos="9072"/>
        </w:tabs>
        <w:spacing w:after="0"/>
        <w:ind w:right="-46"/>
        <w:jc w:val="both"/>
        <w:rPr>
          <w:rFonts w:ascii="Times New Roman" w:hAnsi="Times New Roman" w:cs="Times New Roman"/>
          <w:sz w:val="20"/>
          <w:szCs w:val="20"/>
        </w:rPr>
      </w:pPr>
    </w:p>
    <w:p w14:paraId="66E2B1A8" w14:textId="77777777" w:rsidR="00816EA5" w:rsidRPr="006C528A" w:rsidRDefault="00816EA5" w:rsidP="0068098E">
      <w:pPr>
        <w:pBdr>
          <w:bottom w:val="single" w:sz="4" w:space="1" w:color="auto"/>
        </w:pBdr>
        <w:tabs>
          <w:tab w:val="left" w:pos="360"/>
          <w:tab w:val="right" w:pos="10080"/>
        </w:tabs>
        <w:spacing w:after="0" w:line="240" w:lineRule="auto"/>
        <w:ind w:right="-46"/>
        <w:rPr>
          <w:rFonts w:ascii="Times New Roman" w:eastAsia="SimSun" w:hAnsi="Times New Roman" w:cs="Times New Roman"/>
          <w:b/>
          <w:sz w:val="20"/>
          <w:szCs w:val="20"/>
          <w:lang w:eastAsia="zh-CN"/>
        </w:rPr>
      </w:pPr>
      <w:r w:rsidRPr="006C528A">
        <w:rPr>
          <w:rFonts w:ascii="Times New Roman" w:eastAsia="SimSun" w:hAnsi="Times New Roman" w:cs="Times New Roman"/>
          <w:b/>
          <w:sz w:val="20"/>
          <w:szCs w:val="20"/>
          <w:lang w:eastAsia="zh-CN"/>
        </w:rPr>
        <w:t>PROFESSIONAL EXPERIENCE</w:t>
      </w:r>
    </w:p>
    <w:p w14:paraId="21C65AC4" w14:textId="77777777" w:rsidR="00F653C3" w:rsidRPr="006C528A" w:rsidRDefault="00F653C3" w:rsidP="00F653C3">
      <w:pPr>
        <w:tabs>
          <w:tab w:val="right" w:pos="9072"/>
        </w:tabs>
        <w:spacing w:after="0"/>
        <w:ind w:right="-46"/>
        <w:rPr>
          <w:rFonts w:ascii="Times New Roman" w:hAnsi="Times New Roman" w:cs="Times New Roman"/>
          <w:b/>
          <w:sz w:val="20"/>
          <w:szCs w:val="20"/>
        </w:rPr>
      </w:pPr>
    </w:p>
    <w:p w14:paraId="7FFE0C95" w14:textId="0A10B54A" w:rsidR="006C528A" w:rsidRPr="006C528A" w:rsidRDefault="006C528A" w:rsidP="006C528A">
      <w:pPr>
        <w:tabs>
          <w:tab w:val="right" w:pos="9072"/>
        </w:tabs>
        <w:spacing w:after="0"/>
        <w:ind w:right="-46"/>
        <w:rPr>
          <w:rFonts w:ascii="Times New Roman" w:hAnsi="Times New Roman" w:cs="Times New Roman"/>
          <w:b/>
          <w:bCs/>
          <w:sz w:val="20"/>
          <w:szCs w:val="20"/>
          <w:lang w:val="en-MY"/>
        </w:rPr>
      </w:pPr>
      <w:r w:rsidRPr="006C528A">
        <w:rPr>
          <w:rFonts w:ascii="Times New Roman" w:hAnsi="Times New Roman" w:cs="Times New Roman"/>
          <w:b/>
          <w:bCs/>
          <w:sz w:val="20"/>
          <w:szCs w:val="20"/>
          <w:lang w:val="en-MY"/>
        </w:rPr>
        <w:t>Blue7 Ventures</w:t>
      </w:r>
      <w:r w:rsidRPr="006C528A">
        <w:rPr>
          <w:rFonts w:ascii="Times New Roman" w:hAnsi="Times New Roman" w:cs="Times New Roman"/>
          <w:b/>
          <w:bCs/>
          <w:sz w:val="20"/>
          <w:szCs w:val="20"/>
          <w:lang w:val="en-MY"/>
        </w:rPr>
        <w:br/>
      </w:r>
      <w:r w:rsidR="00A146C1">
        <w:rPr>
          <w:rFonts w:ascii="Times New Roman" w:hAnsi="Times New Roman" w:cs="Times New Roman"/>
          <w:b/>
          <w:bCs/>
          <w:sz w:val="20"/>
          <w:szCs w:val="20"/>
          <w:lang w:val="en-MY"/>
        </w:rPr>
        <w:t xml:space="preserve">Impact Investment </w:t>
      </w:r>
      <w:r w:rsidR="00EA40B0">
        <w:rPr>
          <w:rFonts w:ascii="Times New Roman" w:hAnsi="Times New Roman" w:cs="Times New Roman"/>
          <w:b/>
          <w:bCs/>
          <w:sz w:val="20"/>
          <w:szCs w:val="20"/>
          <w:lang w:val="en-MY"/>
        </w:rPr>
        <w:t xml:space="preserve">Principal </w:t>
      </w:r>
      <w:r w:rsidR="00EA40B0" w:rsidRPr="006C528A">
        <w:rPr>
          <w:rFonts w:ascii="Times New Roman" w:hAnsi="Times New Roman" w:cs="Times New Roman"/>
          <w:b/>
          <w:bCs/>
          <w:sz w:val="20"/>
          <w:szCs w:val="20"/>
          <w:lang w:val="en-MY"/>
        </w:rPr>
        <w:t>Consultant</w:t>
      </w:r>
      <w:r w:rsidRPr="006C528A">
        <w:rPr>
          <w:rFonts w:ascii="Times New Roman" w:hAnsi="Times New Roman" w:cs="Times New Roman"/>
          <w:b/>
          <w:bCs/>
          <w:sz w:val="20"/>
          <w:szCs w:val="20"/>
          <w:lang w:val="en-MY"/>
        </w:rPr>
        <w:br/>
        <w:t xml:space="preserve">Kuala Lumpur, Malaysia | </w:t>
      </w:r>
      <w:r>
        <w:rPr>
          <w:rFonts w:ascii="Times New Roman" w:hAnsi="Times New Roman" w:cs="Times New Roman"/>
          <w:b/>
          <w:bCs/>
          <w:sz w:val="20"/>
          <w:szCs w:val="20"/>
          <w:lang w:val="en-MY"/>
        </w:rPr>
        <w:t xml:space="preserve">Apr </w:t>
      </w:r>
      <w:r w:rsidRPr="006C528A">
        <w:rPr>
          <w:rFonts w:ascii="Times New Roman" w:hAnsi="Times New Roman" w:cs="Times New Roman"/>
          <w:b/>
          <w:bCs/>
          <w:sz w:val="20"/>
          <w:szCs w:val="20"/>
          <w:lang w:val="en-MY"/>
        </w:rPr>
        <w:t xml:space="preserve">2024 – </w:t>
      </w:r>
      <w:r w:rsidR="008C5512">
        <w:rPr>
          <w:rFonts w:ascii="Times New Roman" w:hAnsi="Times New Roman" w:cs="Times New Roman"/>
          <w:b/>
          <w:bCs/>
          <w:sz w:val="20"/>
          <w:szCs w:val="20"/>
          <w:lang w:val="en-MY"/>
        </w:rPr>
        <w:t>Apr 2025</w:t>
      </w:r>
    </w:p>
    <w:p w14:paraId="4C9949AC" w14:textId="77777777" w:rsidR="008C5512" w:rsidRPr="008C5512" w:rsidRDefault="008C5512" w:rsidP="008C5512">
      <w:pPr>
        <w:numPr>
          <w:ilvl w:val="0"/>
          <w:numId w:val="27"/>
        </w:numPr>
        <w:tabs>
          <w:tab w:val="clear" w:pos="720"/>
          <w:tab w:val="right" w:pos="9072"/>
        </w:tabs>
        <w:spacing w:after="0"/>
        <w:ind w:left="360" w:right="-46"/>
        <w:jc w:val="both"/>
        <w:rPr>
          <w:rFonts w:ascii="Times New Roman" w:hAnsi="Times New Roman" w:cs="Times New Roman"/>
          <w:sz w:val="20"/>
          <w:szCs w:val="20"/>
          <w:lang w:val="en-MY"/>
        </w:rPr>
      </w:pPr>
      <w:r w:rsidRPr="008C5512">
        <w:rPr>
          <w:rFonts w:ascii="Times New Roman" w:hAnsi="Times New Roman" w:cs="Times New Roman"/>
          <w:sz w:val="20"/>
          <w:szCs w:val="20"/>
          <w:lang w:val="en-MY"/>
        </w:rPr>
        <w:t>Focused on sourcing and executing early-stage investments in renewable energy and technology sectors, conducting financial and technical due diligence.</w:t>
      </w:r>
    </w:p>
    <w:p w14:paraId="30B732F7" w14:textId="4083A3CC" w:rsidR="009D2EE9" w:rsidRPr="009D2EE9" w:rsidRDefault="008C5512" w:rsidP="008C5512">
      <w:pPr>
        <w:numPr>
          <w:ilvl w:val="0"/>
          <w:numId w:val="27"/>
        </w:numPr>
        <w:tabs>
          <w:tab w:val="right" w:pos="9072"/>
        </w:tabs>
        <w:spacing w:after="0"/>
        <w:ind w:left="360" w:right="-46"/>
        <w:jc w:val="both"/>
        <w:rPr>
          <w:rFonts w:ascii="Times New Roman" w:hAnsi="Times New Roman" w:cs="Times New Roman"/>
          <w:sz w:val="20"/>
          <w:szCs w:val="20"/>
          <w:lang w:val="en-MY"/>
        </w:rPr>
      </w:pPr>
      <w:r w:rsidRPr="008C5512">
        <w:rPr>
          <w:rFonts w:ascii="Times New Roman" w:hAnsi="Times New Roman" w:cs="Times New Roman"/>
          <w:sz w:val="20"/>
          <w:szCs w:val="20"/>
          <w:lang w:val="en-MY"/>
        </w:rPr>
        <w:t xml:space="preserve">Provided strategic guidance to portfolio companies, aligning operations with long-term value creation and scalability </w:t>
      </w:r>
      <w:proofErr w:type="gramStart"/>
      <w:r w:rsidRPr="008C5512">
        <w:rPr>
          <w:rFonts w:ascii="Times New Roman" w:hAnsi="Times New Roman" w:cs="Times New Roman"/>
          <w:sz w:val="20"/>
          <w:szCs w:val="20"/>
          <w:lang w:val="en-MY"/>
        </w:rPr>
        <w:t>goals.</w:t>
      </w:r>
      <w:r w:rsidR="009D2EE9" w:rsidRPr="009D2EE9">
        <w:rPr>
          <w:rFonts w:ascii="Times New Roman" w:hAnsi="Times New Roman" w:cs="Times New Roman"/>
          <w:sz w:val="20"/>
          <w:szCs w:val="20"/>
          <w:lang w:val="en-MY"/>
        </w:rPr>
        <w:t>.</w:t>
      </w:r>
      <w:proofErr w:type="gramEnd"/>
    </w:p>
    <w:p w14:paraId="72CE8926" w14:textId="014AE457" w:rsidR="006C528A" w:rsidRPr="006C528A" w:rsidRDefault="009D2EE9" w:rsidP="009D2EE9">
      <w:pPr>
        <w:numPr>
          <w:ilvl w:val="0"/>
          <w:numId w:val="27"/>
        </w:numPr>
        <w:tabs>
          <w:tab w:val="right" w:pos="9072"/>
        </w:tabs>
        <w:spacing w:after="0"/>
        <w:ind w:left="360" w:right="-46"/>
        <w:jc w:val="both"/>
        <w:rPr>
          <w:rFonts w:ascii="Times New Roman" w:hAnsi="Times New Roman" w:cs="Times New Roman"/>
          <w:sz w:val="20"/>
          <w:szCs w:val="20"/>
          <w:lang w:val="en-MY"/>
        </w:rPr>
      </w:pPr>
      <w:r w:rsidRPr="009D2EE9">
        <w:rPr>
          <w:rFonts w:ascii="Times New Roman" w:hAnsi="Times New Roman" w:cs="Times New Roman"/>
          <w:sz w:val="20"/>
          <w:szCs w:val="20"/>
          <w:lang w:val="en-MY"/>
        </w:rPr>
        <w:t xml:space="preserve">Collaborated closely with </w:t>
      </w:r>
      <w:r w:rsidR="00153C88">
        <w:rPr>
          <w:rFonts w:ascii="Times New Roman" w:hAnsi="Times New Roman" w:cs="Times New Roman"/>
          <w:sz w:val="20"/>
          <w:szCs w:val="20"/>
          <w:lang w:val="en-MY"/>
        </w:rPr>
        <w:t xml:space="preserve">the portfolio companies' board </w:t>
      </w:r>
      <w:r w:rsidRPr="009D2EE9">
        <w:rPr>
          <w:rFonts w:ascii="Times New Roman" w:hAnsi="Times New Roman" w:cs="Times New Roman"/>
          <w:sz w:val="20"/>
          <w:szCs w:val="20"/>
          <w:lang w:val="en-MY"/>
        </w:rPr>
        <w:t>to drive growth, ensuring scalability and market alignment in emerging sectors.</w:t>
      </w:r>
    </w:p>
    <w:p w14:paraId="7438F36B" w14:textId="77777777" w:rsidR="006C528A" w:rsidRDefault="006C528A" w:rsidP="006C528A">
      <w:pPr>
        <w:tabs>
          <w:tab w:val="right" w:pos="9072"/>
        </w:tabs>
        <w:spacing w:after="0"/>
        <w:ind w:right="-46"/>
        <w:rPr>
          <w:rFonts w:ascii="Times New Roman" w:hAnsi="Times New Roman" w:cs="Times New Roman"/>
          <w:b/>
          <w:bCs/>
          <w:sz w:val="20"/>
          <w:szCs w:val="20"/>
          <w:lang w:val="en-MY"/>
        </w:rPr>
      </w:pPr>
    </w:p>
    <w:p w14:paraId="0A08E224" w14:textId="33835A79" w:rsidR="006C528A" w:rsidRPr="006C528A" w:rsidRDefault="006C528A" w:rsidP="006C528A">
      <w:pPr>
        <w:tabs>
          <w:tab w:val="right" w:pos="9072"/>
        </w:tabs>
        <w:spacing w:after="0"/>
        <w:ind w:right="-46"/>
        <w:rPr>
          <w:rFonts w:ascii="Times New Roman" w:hAnsi="Times New Roman" w:cs="Times New Roman"/>
          <w:b/>
          <w:bCs/>
          <w:sz w:val="20"/>
          <w:szCs w:val="20"/>
          <w:lang w:val="en-MY"/>
        </w:rPr>
      </w:pPr>
      <w:r w:rsidRPr="006C528A">
        <w:rPr>
          <w:rFonts w:ascii="Times New Roman" w:hAnsi="Times New Roman" w:cs="Times New Roman"/>
          <w:b/>
          <w:bCs/>
          <w:sz w:val="20"/>
          <w:szCs w:val="20"/>
          <w:lang w:val="en-MY"/>
        </w:rPr>
        <w:t>Graymont Limited</w:t>
      </w:r>
      <w:r w:rsidRPr="006C528A">
        <w:rPr>
          <w:rFonts w:ascii="Times New Roman" w:hAnsi="Times New Roman" w:cs="Times New Roman"/>
          <w:b/>
          <w:bCs/>
          <w:sz w:val="20"/>
          <w:szCs w:val="20"/>
          <w:lang w:val="en-MY"/>
        </w:rPr>
        <w:br/>
      </w:r>
      <w:r w:rsidR="00EA40B0">
        <w:rPr>
          <w:rFonts w:ascii="Times New Roman" w:hAnsi="Times New Roman" w:cs="Times New Roman"/>
          <w:b/>
          <w:bCs/>
          <w:sz w:val="20"/>
          <w:szCs w:val="20"/>
          <w:lang w:val="en-MY"/>
        </w:rPr>
        <w:t>Senior Manager,</w:t>
      </w:r>
      <w:r w:rsidRPr="006C528A">
        <w:rPr>
          <w:rFonts w:ascii="Times New Roman" w:hAnsi="Times New Roman" w:cs="Times New Roman"/>
          <w:b/>
          <w:bCs/>
          <w:sz w:val="20"/>
          <w:szCs w:val="20"/>
          <w:lang w:val="en-MY"/>
        </w:rPr>
        <w:t xml:space="preserve"> Corporate Development and M&amp;A</w:t>
      </w:r>
      <w:r w:rsidR="00EA40B0">
        <w:rPr>
          <w:rFonts w:ascii="Times New Roman" w:hAnsi="Times New Roman" w:cs="Times New Roman"/>
          <w:b/>
          <w:bCs/>
          <w:sz w:val="20"/>
          <w:szCs w:val="20"/>
          <w:lang w:val="en-MY"/>
        </w:rPr>
        <w:t xml:space="preserve"> Asia Lead</w:t>
      </w:r>
      <w:r w:rsidRPr="006C528A">
        <w:rPr>
          <w:rFonts w:ascii="Times New Roman" w:hAnsi="Times New Roman" w:cs="Times New Roman"/>
          <w:b/>
          <w:bCs/>
          <w:sz w:val="20"/>
          <w:szCs w:val="20"/>
          <w:lang w:val="en-MY"/>
        </w:rPr>
        <w:br/>
        <w:t xml:space="preserve">Southeast Asia | </w:t>
      </w:r>
      <w:r w:rsidR="00E242E8">
        <w:rPr>
          <w:rFonts w:ascii="Times New Roman" w:hAnsi="Times New Roman" w:cs="Times New Roman"/>
          <w:b/>
          <w:bCs/>
          <w:sz w:val="20"/>
          <w:szCs w:val="20"/>
          <w:lang w:val="en-MY"/>
        </w:rPr>
        <w:t>Apr</w:t>
      </w:r>
      <w:r w:rsidRPr="006C528A">
        <w:rPr>
          <w:rFonts w:ascii="Times New Roman" w:hAnsi="Times New Roman" w:cs="Times New Roman"/>
          <w:b/>
          <w:bCs/>
          <w:sz w:val="20"/>
          <w:szCs w:val="20"/>
          <w:lang w:val="en-MY"/>
        </w:rPr>
        <w:t xml:space="preserve"> 2024 – </w:t>
      </w:r>
      <w:r>
        <w:rPr>
          <w:rFonts w:ascii="Times New Roman" w:hAnsi="Times New Roman" w:cs="Times New Roman"/>
          <w:b/>
          <w:bCs/>
          <w:sz w:val="20"/>
          <w:szCs w:val="20"/>
          <w:lang w:val="en-MY"/>
        </w:rPr>
        <w:t>Nov 2024</w:t>
      </w:r>
    </w:p>
    <w:p w14:paraId="3DBCE5E7" w14:textId="77777777" w:rsidR="008C5512" w:rsidRPr="008C5512" w:rsidRDefault="008C5512" w:rsidP="008C5512">
      <w:pPr>
        <w:numPr>
          <w:ilvl w:val="0"/>
          <w:numId w:val="42"/>
        </w:numPr>
        <w:tabs>
          <w:tab w:val="clear" w:pos="720"/>
          <w:tab w:val="num" w:pos="360"/>
          <w:tab w:val="right" w:pos="9072"/>
        </w:tabs>
        <w:spacing w:after="0"/>
        <w:ind w:left="360" w:right="-46"/>
        <w:rPr>
          <w:rFonts w:ascii="Times New Roman" w:hAnsi="Times New Roman" w:cs="Times New Roman"/>
          <w:sz w:val="20"/>
          <w:szCs w:val="20"/>
          <w:lang w:val="en-MY"/>
        </w:rPr>
      </w:pPr>
      <w:r w:rsidRPr="008C5512">
        <w:rPr>
          <w:rFonts w:ascii="Times New Roman" w:hAnsi="Times New Roman" w:cs="Times New Roman"/>
          <w:sz w:val="20"/>
          <w:szCs w:val="20"/>
          <w:lang w:val="en-MY"/>
        </w:rPr>
        <w:t>Spearheaded strategic initiatives to establish market presence and evaluate investment opportunities across Indonesia, Malaysia, Vietnam, Thailand, and the Philippines.</w:t>
      </w:r>
    </w:p>
    <w:p w14:paraId="12CCB101" w14:textId="77777777" w:rsidR="008C5512" w:rsidRPr="008C5512" w:rsidRDefault="008C5512" w:rsidP="008C5512">
      <w:pPr>
        <w:numPr>
          <w:ilvl w:val="0"/>
          <w:numId w:val="42"/>
        </w:numPr>
        <w:tabs>
          <w:tab w:val="clear" w:pos="720"/>
          <w:tab w:val="num" w:pos="360"/>
          <w:tab w:val="right" w:pos="9072"/>
        </w:tabs>
        <w:spacing w:after="0"/>
        <w:ind w:left="360" w:right="-46"/>
        <w:rPr>
          <w:rFonts w:ascii="Times New Roman" w:hAnsi="Times New Roman" w:cs="Times New Roman"/>
          <w:sz w:val="20"/>
          <w:szCs w:val="20"/>
          <w:lang w:val="en-MY"/>
        </w:rPr>
      </w:pPr>
      <w:r w:rsidRPr="008C5512">
        <w:rPr>
          <w:rFonts w:ascii="Times New Roman" w:hAnsi="Times New Roman" w:cs="Times New Roman"/>
          <w:sz w:val="20"/>
          <w:szCs w:val="20"/>
          <w:lang w:val="en-MY"/>
        </w:rPr>
        <w:t>Led the end-to-end M&amp;A process for multiple cross-border transactions, managing deal screening, sourcing, due diligence, negotiations, and post-acquisition integration, successfully closing deals in Malaysia and Indonesia.</w:t>
      </w:r>
    </w:p>
    <w:p w14:paraId="51AF1DEC" w14:textId="77777777" w:rsidR="008C5512" w:rsidRPr="008C5512" w:rsidRDefault="008C5512" w:rsidP="008C5512">
      <w:pPr>
        <w:numPr>
          <w:ilvl w:val="0"/>
          <w:numId w:val="42"/>
        </w:numPr>
        <w:tabs>
          <w:tab w:val="clear" w:pos="720"/>
          <w:tab w:val="num" w:pos="360"/>
          <w:tab w:val="right" w:pos="9072"/>
        </w:tabs>
        <w:spacing w:after="0"/>
        <w:ind w:left="360" w:right="-46"/>
        <w:rPr>
          <w:rFonts w:ascii="Times New Roman" w:hAnsi="Times New Roman" w:cs="Times New Roman"/>
          <w:sz w:val="20"/>
          <w:szCs w:val="20"/>
          <w:lang w:val="en-MY"/>
        </w:rPr>
      </w:pPr>
      <w:r w:rsidRPr="008C5512">
        <w:rPr>
          <w:rFonts w:ascii="Times New Roman" w:hAnsi="Times New Roman" w:cs="Times New Roman"/>
          <w:sz w:val="20"/>
          <w:szCs w:val="20"/>
          <w:lang w:val="en-MY"/>
        </w:rPr>
        <w:t>Developed and maintained relationships with corporate clients, government bodies, and local suppliers, facilitating deal origination and securing long-term partnerships.</w:t>
      </w:r>
    </w:p>
    <w:p w14:paraId="461BC72B" w14:textId="77777777" w:rsidR="008C5512" w:rsidRPr="008C5512" w:rsidRDefault="008C5512" w:rsidP="008C5512">
      <w:pPr>
        <w:numPr>
          <w:ilvl w:val="0"/>
          <w:numId w:val="42"/>
        </w:numPr>
        <w:tabs>
          <w:tab w:val="clear" w:pos="720"/>
          <w:tab w:val="num" w:pos="360"/>
          <w:tab w:val="right" w:pos="9072"/>
        </w:tabs>
        <w:spacing w:after="0"/>
        <w:ind w:left="360" w:right="-46"/>
        <w:rPr>
          <w:rFonts w:ascii="Times New Roman" w:hAnsi="Times New Roman" w:cs="Times New Roman"/>
          <w:sz w:val="20"/>
          <w:szCs w:val="20"/>
          <w:lang w:val="en-MY"/>
        </w:rPr>
      </w:pPr>
      <w:r w:rsidRPr="008C5512">
        <w:rPr>
          <w:rFonts w:ascii="Times New Roman" w:hAnsi="Times New Roman" w:cs="Times New Roman"/>
          <w:sz w:val="20"/>
          <w:szCs w:val="20"/>
          <w:lang w:val="en-MY"/>
        </w:rPr>
        <w:t>Conducted in-depth market research to identify opportunities and risks in the mining and limestone value chain, supporting strategic decision-making.</w:t>
      </w:r>
    </w:p>
    <w:p w14:paraId="37FFF0DE" w14:textId="77777777" w:rsidR="006C528A" w:rsidRPr="006C528A" w:rsidRDefault="006C528A" w:rsidP="006C528A">
      <w:pPr>
        <w:tabs>
          <w:tab w:val="right" w:pos="9072"/>
        </w:tabs>
        <w:spacing w:after="0"/>
        <w:ind w:left="720" w:right="-46"/>
        <w:rPr>
          <w:rFonts w:ascii="Times New Roman" w:hAnsi="Times New Roman" w:cs="Times New Roman"/>
          <w:b/>
          <w:bCs/>
          <w:sz w:val="20"/>
          <w:szCs w:val="20"/>
          <w:lang w:val="en-MY"/>
        </w:rPr>
      </w:pPr>
    </w:p>
    <w:p w14:paraId="77196184" w14:textId="77777777" w:rsidR="006C528A" w:rsidRPr="006C528A" w:rsidRDefault="006C528A" w:rsidP="006C528A">
      <w:pPr>
        <w:tabs>
          <w:tab w:val="right" w:pos="9072"/>
        </w:tabs>
        <w:spacing w:after="0"/>
        <w:ind w:right="-46"/>
        <w:rPr>
          <w:rFonts w:ascii="Times New Roman" w:hAnsi="Times New Roman" w:cs="Times New Roman"/>
          <w:b/>
          <w:bCs/>
          <w:sz w:val="20"/>
          <w:szCs w:val="20"/>
          <w:lang w:val="en-MY"/>
        </w:rPr>
      </w:pPr>
      <w:r w:rsidRPr="006C528A">
        <w:rPr>
          <w:rFonts w:ascii="Times New Roman" w:hAnsi="Times New Roman" w:cs="Times New Roman"/>
          <w:b/>
          <w:bCs/>
          <w:sz w:val="20"/>
          <w:szCs w:val="20"/>
          <w:lang w:val="en-MY"/>
        </w:rPr>
        <w:t xml:space="preserve">Khazanah Nasional </w:t>
      </w:r>
      <w:proofErr w:type="spellStart"/>
      <w:r w:rsidRPr="006C528A">
        <w:rPr>
          <w:rFonts w:ascii="Times New Roman" w:hAnsi="Times New Roman" w:cs="Times New Roman"/>
          <w:b/>
          <w:bCs/>
          <w:sz w:val="20"/>
          <w:szCs w:val="20"/>
          <w:lang w:val="en-MY"/>
        </w:rPr>
        <w:t>Berhad</w:t>
      </w:r>
      <w:proofErr w:type="spellEnd"/>
      <w:r w:rsidRPr="006C528A">
        <w:rPr>
          <w:rFonts w:ascii="Times New Roman" w:hAnsi="Times New Roman" w:cs="Times New Roman"/>
          <w:b/>
          <w:bCs/>
          <w:sz w:val="20"/>
          <w:szCs w:val="20"/>
          <w:lang w:val="en-MY"/>
        </w:rPr>
        <w:br/>
        <w:t>Vice President, Private Equity, Impact Investment</w:t>
      </w:r>
      <w:r w:rsidRPr="006C528A">
        <w:rPr>
          <w:rFonts w:ascii="Times New Roman" w:hAnsi="Times New Roman" w:cs="Times New Roman"/>
          <w:b/>
          <w:bCs/>
          <w:sz w:val="20"/>
          <w:szCs w:val="20"/>
          <w:lang w:val="en-MY"/>
        </w:rPr>
        <w:br/>
        <w:t>Kuala Lumpur, Malaysia | Nov 2022 – Jul 2023</w:t>
      </w:r>
    </w:p>
    <w:p w14:paraId="23BF0A2D" w14:textId="77777777" w:rsidR="006C528A" w:rsidRPr="006C528A" w:rsidRDefault="006C528A" w:rsidP="006C528A">
      <w:pPr>
        <w:numPr>
          <w:ilvl w:val="0"/>
          <w:numId w:val="30"/>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 xml:space="preserve">Directed the deployment of USD 80 million across four funds under the Dana </w:t>
      </w:r>
      <w:proofErr w:type="spellStart"/>
      <w:r w:rsidRPr="006C528A">
        <w:rPr>
          <w:rFonts w:ascii="Times New Roman" w:hAnsi="Times New Roman" w:cs="Times New Roman"/>
          <w:sz w:val="20"/>
          <w:szCs w:val="20"/>
          <w:lang w:val="en-MY"/>
        </w:rPr>
        <w:t>Impak</w:t>
      </w:r>
      <w:proofErr w:type="spellEnd"/>
      <w:r w:rsidRPr="006C528A">
        <w:rPr>
          <w:rFonts w:ascii="Times New Roman" w:hAnsi="Times New Roman" w:cs="Times New Roman"/>
          <w:sz w:val="20"/>
          <w:szCs w:val="20"/>
          <w:lang w:val="en-MY"/>
        </w:rPr>
        <w:t xml:space="preserve"> Fund, focusing on technology, renewable energy, and sustainable food sectors.</w:t>
      </w:r>
    </w:p>
    <w:p w14:paraId="72F638AF" w14:textId="77777777" w:rsidR="006C528A" w:rsidRPr="006C528A" w:rsidRDefault="006C528A" w:rsidP="006C528A">
      <w:pPr>
        <w:numPr>
          <w:ilvl w:val="0"/>
          <w:numId w:val="30"/>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Launched the Future Malaysia Programme, attracting international venture capital firms such as Plug and Play and Antler to establish offices in Malaysia.</w:t>
      </w:r>
    </w:p>
    <w:p w14:paraId="1E6D66E6" w14:textId="75A39D5C" w:rsidR="006C528A" w:rsidRPr="006C528A" w:rsidRDefault="006C528A" w:rsidP="006C528A">
      <w:pPr>
        <w:numPr>
          <w:ilvl w:val="0"/>
          <w:numId w:val="30"/>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Collaborated with investee companies to align strategies with Khazanah’s impact goals.</w:t>
      </w:r>
    </w:p>
    <w:p w14:paraId="4F8EE20C" w14:textId="77777777" w:rsidR="006C528A" w:rsidRPr="006C528A" w:rsidRDefault="006C528A" w:rsidP="006C528A">
      <w:pPr>
        <w:tabs>
          <w:tab w:val="right" w:pos="9072"/>
        </w:tabs>
        <w:spacing w:after="0"/>
        <w:ind w:left="720" w:right="-46"/>
        <w:rPr>
          <w:rFonts w:ascii="Times New Roman" w:hAnsi="Times New Roman" w:cs="Times New Roman"/>
          <w:b/>
          <w:bCs/>
          <w:sz w:val="20"/>
          <w:szCs w:val="20"/>
          <w:lang w:val="en-MY"/>
        </w:rPr>
      </w:pPr>
    </w:p>
    <w:p w14:paraId="66115A4C" w14:textId="77777777" w:rsidR="006C528A" w:rsidRPr="006C528A" w:rsidRDefault="006C528A" w:rsidP="006C528A">
      <w:pPr>
        <w:tabs>
          <w:tab w:val="right" w:pos="9072"/>
        </w:tabs>
        <w:spacing w:after="0"/>
        <w:ind w:right="-46"/>
        <w:rPr>
          <w:rFonts w:ascii="Times New Roman" w:hAnsi="Times New Roman" w:cs="Times New Roman"/>
          <w:b/>
          <w:bCs/>
          <w:sz w:val="20"/>
          <w:szCs w:val="20"/>
          <w:lang w:val="en-MY"/>
        </w:rPr>
      </w:pPr>
      <w:proofErr w:type="spellStart"/>
      <w:r w:rsidRPr="006C528A">
        <w:rPr>
          <w:rFonts w:ascii="Times New Roman" w:hAnsi="Times New Roman" w:cs="Times New Roman"/>
          <w:b/>
          <w:bCs/>
          <w:sz w:val="20"/>
          <w:szCs w:val="20"/>
          <w:lang w:val="en-MY"/>
        </w:rPr>
        <w:t>Charaku</w:t>
      </w:r>
      <w:proofErr w:type="spellEnd"/>
      <w:r w:rsidRPr="006C528A">
        <w:rPr>
          <w:rFonts w:ascii="Times New Roman" w:hAnsi="Times New Roman" w:cs="Times New Roman"/>
          <w:b/>
          <w:bCs/>
          <w:sz w:val="20"/>
          <w:szCs w:val="20"/>
          <w:lang w:val="en-MY"/>
        </w:rPr>
        <w:t xml:space="preserve"> Pte Ltd (Startup, </w:t>
      </w:r>
      <w:proofErr w:type="spellStart"/>
      <w:r w:rsidRPr="006C528A">
        <w:rPr>
          <w:rFonts w:ascii="Times New Roman" w:hAnsi="Times New Roman" w:cs="Times New Roman"/>
          <w:b/>
          <w:bCs/>
          <w:sz w:val="20"/>
          <w:szCs w:val="20"/>
          <w:lang w:val="en-MY"/>
        </w:rPr>
        <w:t>Popsical</w:t>
      </w:r>
      <w:proofErr w:type="spellEnd"/>
      <w:r w:rsidRPr="006C528A">
        <w:rPr>
          <w:rFonts w:ascii="Times New Roman" w:hAnsi="Times New Roman" w:cs="Times New Roman"/>
          <w:b/>
          <w:bCs/>
          <w:sz w:val="20"/>
          <w:szCs w:val="20"/>
          <w:lang w:val="en-MY"/>
        </w:rPr>
        <w:t xml:space="preserve"> – Consumer Tech)</w:t>
      </w:r>
      <w:r w:rsidRPr="006C528A">
        <w:rPr>
          <w:rFonts w:ascii="Times New Roman" w:hAnsi="Times New Roman" w:cs="Times New Roman"/>
          <w:b/>
          <w:bCs/>
          <w:sz w:val="20"/>
          <w:szCs w:val="20"/>
          <w:lang w:val="en-MY"/>
        </w:rPr>
        <w:br/>
        <w:t>Investment &amp; Strategy Lead, Acting CFO</w:t>
      </w:r>
      <w:r w:rsidRPr="006C528A">
        <w:rPr>
          <w:rFonts w:ascii="Times New Roman" w:hAnsi="Times New Roman" w:cs="Times New Roman"/>
          <w:b/>
          <w:bCs/>
          <w:sz w:val="20"/>
          <w:szCs w:val="20"/>
          <w:lang w:val="en-MY"/>
        </w:rPr>
        <w:br/>
        <w:t>Singapore | May 2021 – Nov 2022</w:t>
      </w:r>
    </w:p>
    <w:p w14:paraId="621A2374" w14:textId="77777777" w:rsidR="009D2EE9" w:rsidRPr="009D2EE9" w:rsidRDefault="009D2EE9" w:rsidP="009D2EE9">
      <w:pPr>
        <w:numPr>
          <w:ilvl w:val="0"/>
          <w:numId w:val="31"/>
        </w:numPr>
        <w:tabs>
          <w:tab w:val="clear" w:pos="720"/>
          <w:tab w:val="right" w:pos="9072"/>
        </w:tabs>
        <w:spacing w:after="0"/>
        <w:ind w:left="360" w:right="-46"/>
        <w:jc w:val="both"/>
        <w:rPr>
          <w:rFonts w:ascii="Times New Roman" w:hAnsi="Times New Roman" w:cs="Times New Roman"/>
          <w:sz w:val="20"/>
          <w:szCs w:val="20"/>
          <w:lang w:val="en-MY"/>
        </w:rPr>
      </w:pPr>
      <w:r w:rsidRPr="009D2EE9">
        <w:rPr>
          <w:rFonts w:ascii="Times New Roman" w:hAnsi="Times New Roman" w:cs="Times New Roman"/>
          <w:sz w:val="20"/>
          <w:szCs w:val="20"/>
          <w:lang w:val="en-MY"/>
        </w:rPr>
        <w:t>Drove strategic initiatives, achieving a 2x increase in revenue and reaching breakeven in FY2021 through optimized resource allocation and market strategies.</w:t>
      </w:r>
    </w:p>
    <w:p w14:paraId="1FCEF827" w14:textId="007F60D0" w:rsidR="009D2EE9" w:rsidRPr="009D2EE9" w:rsidRDefault="009D2EE9" w:rsidP="009D2EE9">
      <w:pPr>
        <w:numPr>
          <w:ilvl w:val="0"/>
          <w:numId w:val="31"/>
        </w:numPr>
        <w:tabs>
          <w:tab w:val="clear" w:pos="720"/>
          <w:tab w:val="right" w:pos="9072"/>
        </w:tabs>
        <w:spacing w:after="0"/>
        <w:ind w:left="360" w:right="-46"/>
        <w:jc w:val="both"/>
        <w:rPr>
          <w:rFonts w:ascii="Times New Roman" w:hAnsi="Times New Roman" w:cs="Times New Roman"/>
          <w:sz w:val="20"/>
          <w:szCs w:val="20"/>
          <w:lang w:val="en-MY"/>
        </w:rPr>
      </w:pPr>
      <w:r w:rsidRPr="009D2EE9">
        <w:rPr>
          <w:rFonts w:ascii="Times New Roman" w:hAnsi="Times New Roman" w:cs="Times New Roman"/>
          <w:sz w:val="20"/>
          <w:szCs w:val="20"/>
          <w:lang w:val="en-MY"/>
        </w:rPr>
        <w:t xml:space="preserve">Led the </w:t>
      </w:r>
      <w:r>
        <w:rPr>
          <w:rFonts w:ascii="Times New Roman" w:hAnsi="Times New Roman" w:cs="Times New Roman"/>
          <w:sz w:val="20"/>
          <w:szCs w:val="20"/>
          <w:lang w:val="en-MY"/>
        </w:rPr>
        <w:t>company's restructuring</w:t>
      </w:r>
      <w:r w:rsidRPr="009D2EE9">
        <w:rPr>
          <w:rFonts w:ascii="Times New Roman" w:hAnsi="Times New Roman" w:cs="Times New Roman"/>
          <w:sz w:val="20"/>
          <w:szCs w:val="20"/>
          <w:lang w:val="en-MY"/>
        </w:rPr>
        <w:t>, making it EBITDA-positive within one year.</w:t>
      </w:r>
    </w:p>
    <w:p w14:paraId="6212AFEE" w14:textId="77777777" w:rsidR="009D2EE9" w:rsidRPr="009D2EE9" w:rsidRDefault="009D2EE9" w:rsidP="009D2EE9">
      <w:pPr>
        <w:numPr>
          <w:ilvl w:val="0"/>
          <w:numId w:val="31"/>
        </w:numPr>
        <w:tabs>
          <w:tab w:val="clear" w:pos="720"/>
          <w:tab w:val="right" w:pos="9072"/>
        </w:tabs>
        <w:spacing w:after="0"/>
        <w:ind w:left="360" w:right="-46"/>
        <w:jc w:val="both"/>
        <w:rPr>
          <w:rFonts w:ascii="Times New Roman" w:hAnsi="Times New Roman" w:cs="Times New Roman"/>
          <w:sz w:val="20"/>
          <w:szCs w:val="20"/>
          <w:lang w:val="en-MY"/>
        </w:rPr>
      </w:pPr>
      <w:r w:rsidRPr="009D2EE9">
        <w:rPr>
          <w:rFonts w:ascii="Times New Roman" w:hAnsi="Times New Roman" w:cs="Times New Roman"/>
          <w:sz w:val="20"/>
          <w:szCs w:val="20"/>
          <w:lang w:val="en-MY"/>
        </w:rPr>
        <w:t>Developed and implemented go-to-market strategies for scaling early-stage products, positioning the company for sustainable growth.</w:t>
      </w:r>
    </w:p>
    <w:p w14:paraId="6304B2C8" w14:textId="46CBB564" w:rsidR="006C528A" w:rsidRPr="006C528A" w:rsidRDefault="009D2EE9" w:rsidP="009D2EE9">
      <w:pPr>
        <w:numPr>
          <w:ilvl w:val="0"/>
          <w:numId w:val="31"/>
        </w:numPr>
        <w:tabs>
          <w:tab w:val="right" w:pos="9072"/>
        </w:tabs>
        <w:spacing w:after="0"/>
        <w:ind w:left="360" w:right="-46"/>
        <w:jc w:val="both"/>
        <w:rPr>
          <w:rFonts w:ascii="Times New Roman" w:hAnsi="Times New Roman" w:cs="Times New Roman"/>
          <w:sz w:val="20"/>
          <w:szCs w:val="20"/>
          <w:lang w:val="en-MY"/>
        </w:rPr>
      </w:pPr>
      <w:r w:rsidRPr="009D2EE9">
        <w:rPr>
          <w:rFonts w:ascii="Times New Roman" w:hAnsi="Times New Roman" w:cs="Times New Roman"/>
          <w:sz w:val="20"/>
          <w:szCs w:val="20"/>
          <w:lang w:val="en-MY"/>
        </w:rPr>
        <w:t>Built key relationships with investors, ensuring continued financial support and growth capital.</w:t>
      </w:r>
    </w:p>
    <w:p w14:paraId="58358A0C" w14:textId="77777777" w:rsidR="00A06545" w:rsidRDefault="00A06545" w:rsidP="006C528A">
      <w:pPr>
        <w:tabs>
          <w:tab w:val="right" w:pos="9072"/>
        </w:tabs>
        <w:spacing w:after="0"/>
        <w:ind w:right="-46"/>
        <w:rPr>
          <w:rFonts w:ascii="Times New Roman" w:hAnsi="Times New Roman" w:cs="Times New Roman"/>
          <w:b/>
          <w:bCs/>
          <w:sz w:val="20"/>
          <w:szCs w:val="20"/>
          <w:lang w:val="en-MY"/>
        </w:rPr>
      </w:pPr>
    </w:p>
    <w:p w14:paraId="5DFBABDE" w14:textId="32614234" w:rsidR="006C528A" w:rsidRPr="006C528A" w:rsidRDefault="006C528A" w:rsidP="006C528A">
      <w:pPr>
        <w:tabs>
          <w:tab w:val="right" w:pos="9072"/>
        </w:tabs>
        <w:spacing w:after="0"/>
        <w:ind w:right="-46"/>
        <w:rPr>
          <w:rFonts w:ascii="Times New Roman" w:hAnsi="Times New Roman" w:cs="Times New Roman"/>
          <w:b/>
          <w:bCs/>
          <w:sz w:val="20"/>
          <w:szCs w:val="20"/>
          <w:lang w:val="en-MY"/>
        </w:rPr>
      </w:pPr>
      <w:proofErr w:type="spellStart"/>
      <w:r w:rsidRPr="006C528A">
        <w:rPr>
          <w:rFonts w:ascii="Times New Roman" w:hAnsi="Times New Roman" w:cs="Times New Roman"/>
          <w:b/>
          <w:bCs/>
          <w:sz w:val="20"/>
          <w:szCs w:val="20"/>
          <w:lang w:val="en-MY"/>
        </w:rPr>
        <w:t>Edgepoint</w:t>
      </w:r>
      <w:proofErr w:type="spellEnd"/>
      <w:r w:rsidRPr="006C528A">
        <w:rPr>
          <w:rFonts w:ascii="Times New Roman" w:hAnsi="Times New Roman" w:cs="Times New Roman"/>
          <w:b/>
          <w:bCs/>
          <w:sz w:val="20"/>
          <w:szCs w:val="20"/>
          <w:lang w:val="en-MY"/>
        </w:rPr>
        <w:t xml:space="preserve"> Infrastructure (Startup under Digital Bridge Fund)</w:t>
      </w:r>
      <w:r w:rsidRPr="006C528A">
        <w:rPr>
          <w:rFonts w:ascii="Times New Roman" w:hAnsi="Times New Roman" w:cs="Times New Roman"/>
          <w:b/>
          <w:bCs/>
          <w:sz w:val="20"/>
          <w:szCs w:val="20"/>
          <w:lang w:val="en-MY"/>
        </w:rPr>
        <w:br/>
        <w:t>Part-time M&amp;A Strategy Lead Consultant</w:t>
      </w:r>
      <w:r w:rsidRPr="006C528A">
        <w:rPr>
          <w:rFonts w:ascii="Times New Roman" w:hAnsi="Times New Roman" w:cs="Times New Roman"/>
          <w:b/>
          <w:bCs/>
          <w:sz w:val="20"/>
          <w:szCs w:val="20"/>
          <w:lang w:val="en-MY"/>
        </w:rPr>
        <w:br/>
        <w:t>Kuala Lumpur, Malaysia | November 2020 – March 2021</w:t>
      </w:r>
    </w:p>
    <w:p w14:paraId="4DF399D0" w14:textId="77777777" w:rsidR="008C5512" w:rsidRPr="008C5512" w:rsidRDefault="008C5512" w:rsidP="008C5512">
      <w:pPr>
        <w:numPr>
          <w:ilvl w:val="0"/>
          <w:numId w:val="32"/>
        </w:numPr>
        <w:tabs>
          <w:tab w:val="clear" w:pos="720"/>
          <w:tab w:val="right" w:pos="9072"/>
        </w:tabs>
        <w:spacing w:after="0"/>
        <w:ind w:left="360" w:right="-46"/>
        <w:jc w:val="both"/>
        <w:rPr>
          <w:rFonts w:ascii="Times New Roman" w:hAnsi="Times New Roman" w:cs="Times New Roman"/>
          <w:sz w:val="20"/>
          <w:szCs w:val="20"/>
          <w:lang w:val="en-MY"/>
        </w:rPr>
      </w:pPr>
      <w:r w:rsidRPr="008C5512">
        <w:rPr>
          <w:rFonts w:ascii="Times New Roman" w:hAnsi="Times New Roman" w:cs="Times New Roman"/>
          <w:sz w:val="20"/>
          <w:szCs w:val="20"/>
          <w:lang w:val="en-MY"/>
        </w:rPr>
        <w:t xml:space="preserve">Supported the launch of the Digital Bridge Fund by sourcing and executing M&amp;A deals for towers, 5G infrastructure, data </w:t>
      </w:r>
      <w:proofErr w:type="spellStart"/>
      <w:r w:rsidRPr="008C5512">
        <w:rPr>
          <w:rFonts w:ascii="Times New Roman" w:hAnsi="Times New Roman" w:cs="Times New Roman"/>
          <w:sz w:val="20"/>
          <w:szCs w:val="20"/>
          <w:lang w:val="en-MY"/>
        </w:rPr>
        <w:t>centers</w:t>
      </w:r>
      <w:proofErr w:type="spellEnd"/>
      <w:r w:rsidRPr="008C5512">
        <w:rPr>
          <w:rFonts w:ascii="Times New Roman" w:hAnsi="Times New Roman" w:cs="Times New Roman"/>
          <w:sz w:val="20"/>
          <w:szCs w:val="20"/>
          <w:lang w:val="en-MY"/>
        </w:rPr>
        <w:t>, and IoT projects across Southeast Asia.</w:t>
      </w:r>
    </w:p>
    <w:p w14:paraId="1560A438" w14:textId="77777777" w:rsidR="008C5512" w:rsidRPr="008C5512" w:rsidRDefault="008C5512" w:rsidP="008C5512">
      <w:pPr>
        <w:numPr>
          <w:ilvl w:val="0"/>
          <w:numId w:val="32"/>
        </w:numPr>
        <w:tabs>
          <w:tab w:val="clear" w:pos="720"/>
          <w:tab w:val="right" w:pos="9072"/>
        </w:tabs>
        <w:spacing w:after="0"/>
        <w:ind w:left="360" w:right="-46"/>
        <w:jc w:val="both"/>
        <w:rPr>
          <w:rFonts w:ascii="Times New Roman" w:hAnsi="Times New Roman" w:cs="Times New Roman"/>
          <w:sz w:val="20"/>
          <w:szCs w:val="20"/>
          <w:lang w:val="en-MY"/>
        </w:rPr>
      </w:pPr>
      <w:r w:rsidRPr="008C5512">
        <w:rPr>
          <w:rFonts w:ascii="Times New Roman" w:hAnsi="Times New Roman" w:cs="Times New Roman"/>
          <w:sz w:val="20"/>
          <w:szCs w:val="20"/>
          <w:lang w:val="en-MY"/>
        </w:rPr>
        <w:t xml:space="preserve">Led deal structuring, financial valuation, and due diligence for three high-value acquisitions </w:t>
      </w:r>
      <w:proofErr w:type="spellStart"/>
      <w:r w:rsidRPr="008C5512">
        <w:rPr>
          <w:rFonts w:ascii="Times New Roman" w:hAnsi="Times New Roman" w:cs="Times New Roman"/>
          <w:sz w:val="20"/>
          <w:szCs w:val="20"/>
          <w:lang w:val="en-MY"/>
        </w:rPr>
        <w:t>totaling</w:t>
      </w:r>
      <w:proofErr w:type="spellEnd"/>
      <w:r w:rsidRPr="008C5512">
        <w:rPr>
          <w:rFonts w:ascii="Times New Roman" w:hAnsi="Times New Roman" w:cs="Times New Roman"/>
          <w:sz w:val="20"/>
          <w:szCs w:val="20"/>
          <w:lang w:val="en-MY"/>
        </w:rPr>
        <w:t xml:space="preserve"> RM 500 million, successfully closing two deals.</w:t>
      </w:r>
    </w:p>
    <w:p w14:paraId="33E4F0B1" w14:textId="315212AD" w:rsidR="006C528A" w:rsidRPr="008C5512" w:rsidRDefault="008C5512" w:rsidP="008C5512">
      <w:pPr>
        <w:numPr>
          <w:ilvl w:val="0"/>
          <w:numId w:val="32"/>
        </w:numPr>
        <w:tabs>
          <w:tab w:val="clear" w:pos="720"/>
          <w:tab w:val="right" w:pos="9072"/>
        </w:tabs>
        <w:spacing w:after="0"/>
        <w:ind w:left="360" w:right="-46"/>
        <w:jc w:val="both"/>
        <w:rPr>
          <w:rFonts w:ascii="Times New Roman" w:hAnsi="Times New Roman" w:cs="Times New Roman"/>
          <w:sz w:val="20"/>
          <w:szCs w:val="20"/>
          <w:lang w:val="en-MY"/>
        </w:rPr>
      </w:pPr>
      <w:r w:rsidRPr="008C5512">
        <w:rPr>
          <w:rFonts w:ascii="Times New Roman" w:hAnsi="Times New Roman" w:cs="Times New Roman"/>
          <w:sz w:val="20"/>
          <w:szCs w:val="20"/>
          <w:lang w:val="en-MY"/>
        </w:rPr>
        <w:t>Coordinated with legal and tax advisors to ensure compliance and alignment with business objectives throughout the transaction lifecycle</w:t>
      </w:r>
      <w:r w:rsidR="006C528A" w:rsidRPr="008C5512">
        <w:rPr>
          <w:rFonts w:ascii="Times New Roman" w:hAnsi="Times New Roman" w:cs="Times New Roman"/>
          <w:sz w:val="20"/>
          <w:szCs w:val="20"/>
          <w:lang w:val="en-MY"/>
        </w:rPr>
        <w:t>.</w:t>
      </w:r>
    </w:p>
    <w:p w14:paraId="13B6FB2E" w14:textId="77777777" w:rsidR="006C528A" w:rsidRDefault="006C528A" w:rsidP="006C528A">
      <w:pPr>
        <w:tabs>
          <w:tab w:val="right" w:pos="9072"/>
        </w:tabs>
        <w:spacing w:after="0"/>
        <w:ind w:right="-46"/>
        <w:rPr>
          <w:rFonts w:ascii="Times New Roman" w:hAnsi="Times New Roman" w:cs="Times New Roman"/>
          <w:b/>
          <w:bCs/>
          <w:sz w:val="20"/>
          <w:szCs w:val="20"/>
          <w:lang w:val="en-MY"/>
        </w:rPr>
      </w:pPr>
    </w:p>
    <w:p w14:paraId="70F290A9" w14:textId="6EC842C9" w:rsidR="006C528A" w:rsidRPr="006C528A" w:rsidRDefault="006C528A" w:rsidP="006C528A">
      <w:pPr>
        <w:tabs>
          <w:tab w:val="right" w:pos="9072"/>
        </w:tabs>
        <w:spacing w:after="0"/>
        <w:ind w:right="-46"/>
        <w:rPr>
          <w:rFonts w:ascii="Times New Roman" w:hAnsi="Times New Roman" w:cs="Times New Roman"/>
          <w:b/>
          <w:bCs/>
          <w:sz w:val="20"/>
          <w:szCs w:val="20"/>
          <w:lang w:val="en-MY"/>
        </w:rPr>
      </w:pPr>
      <w:r w:rsidRPr="006C528A">
        <w:rPr>
          <w:rFonts w:ascii="Times New Roman" w:hAnsi="Times New Roman" w:cs="Times New Roman"/>
          <w:b/>
          <w:bCs/>
          <w:sz w:val="20"/>
          <w:szCs w:val="20"/>
          <w:lang w:val="en-MY"/>
        </w:rPr>
        <w:t xml:space="preserve">CapitaLand Commercial </w:t>
      </w:r>
      <w:proofErr w:type="spellStart"/>
      <w:r w:rsidRPr="006C528A">
        <w:rPr>
          <w:rFonts w:ascii="Times New Roman" w:hAnsi="Times New Roman" w:cs="Times New Roman"/>
          <w:b/>
          <w:bCs/>
          <w:sz w:val="20"/>
          <w:szCs w:val="20"/>
          <w:lang w:val="en-MY"/>
        </w:rPr>
        <w:t>Sdn</w:t>
      </w:r>
      <w:proofErr w:type="spellEnd"/>
      <w:r w:rsidRPr="006C528A">
        <w:rPr>
          <w:rFonts w:ascii="Times New Roman" w:hAnsi="Times New Roman" w:cs="Times New Roman"/>
          <w:b/>
          <w:bCs/>
          <w:sz w:val="20"/>
          <w:szCs w:val="20"/>
          <w:lang w:val="en-MY"/>
        </w:rPr>
        <w:t xml:space="preserve"> </w:t>
      </w:r>
      <w:proofErr w:type="spellStart"/>
      <w:r w:rsidRPr="006C528A">
        <w:rPr>
          <w:rFonts w:ascii="Times New Roman" w:hAnsi="Times New Roman" w:cs="Times New Roman"/>
          <w:b/>
          <w:bCs/>
          <w:sz w:val="20"/>
          <w:szCs w:val="20"/>
          <w:lang w:val="en-MY"/>
        </w:rPr>
        <w:t>Bhd</w:t>
      </w:r>
      <w:proofErr w:type="spellEnd"/>
      <w:r w:rsidRPr="006C528A">
        <w:rPr>
          <w:rFonts w:ascii="Times New Roman" w:hAnsi="Times New Roman" w:cs="Times New Roman"/>
          <w:b/>
          <w:bCs/>
          <w:sz w:val="20"/>
          <w:szCs w:val="20"/>
          <w:lang w:val="en-MY"/>
        </w:rPr>
        <w:br/>
        <w:t>Investment and Portfolio Management</w:t>
      </w:r>
      <w:r w:rsidRPr="006C528A">
        <w:rPr>
          <w:rFonts w:ascii="Times New Roman" w:hAnsi="Times New Roman" w:cs="Times New Roman"/>
          <w:b/>
          <w:bCs/>
          <w:sz w:val="20"/>
          <w:szCs w:val="20"/>
          <w:lang w:val="en-MY"/>
        </w:rPr>
        <w:br/>
        <w:t>Kuala Lumpur, Malaysia | May 2019 – April 2021</w:t>
      </w:r>
    </w:p>
    <w:p w14:paraId="24A4A5D9" w14:textId="77777777" w:rsidR="006C528A" w:rsidRPr="006C528A" w:rsidRDefault="006C528A" w:rsidP="006C528A">
      <w:pPr>
        <w:numPr>
          <w:ilvl w:val="0"/>
          <w:numId w:val="33"/>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Managed a RM 1 billion real estate portfolio, leading acquisitions and forming strategic partnerships for new projects.</w:t>
      </w:r>
    </w:p>
    <w:p w14:paraId="5B7B3273" w14:textId="77777777" w:rsidR="006C528A" w:rsidRPr="006C528A" w:rsidRDefault="006C528A" w:rsidP="006C528A">
      <w:pPr>
        <w:numPr>
          <w:ilvl w:val="0"/>
          <w:numId w:val="33"/>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Developed financial models and feasibility studies to evaluate investment opportunities, aligning with corporate growth objectives.</w:t>
      </w:r>
    </w:p>
    <w:p w14:paraId="30775137" w14:textId="77777777" w:rsidR="006C528A" w:rsidRPr="006C528A" w:rsidRDefault="006C528A" w:rsidP="006C528A">
      <w:pPr>
        <w:tabs>
          <w:tab w:val="right" w:pos="9072"/>
        </w:tabs>
        <w:spacing w:after="0"/>
        <w:ind w:right="-46"/>
        <w:jc w:val="both"/>
        <w:rPr>
          <w:rFonts w:ascii="Times New Roman" w:hAnsi="Times New Roman" w:cs="Times New Roman"/>
          <w:sz w:val="20"/>
          <w:szCs w:val="20"/>
          <w:lang w:val="en-MY"/>
        </w:rPr>
      </w:pPr>
    </w:p>
    <w:p w14:paraId="204B3D98" w14:textId="6DCEC563" w:rsidR="006C528A" w:rsidRPr="006C528A" w:rsidRDefault="006C528A" w:rsidP="006C528A">
      <w:pPr>
        <w:tabs>
          <w:tab w:val="right" w:pos="9072"/>
        </w:tabs>
        <w:spacing w:after="0"/>
        <w:ind w:right="-46"/>
        <w:rPr>
          <w:rFonts w:ascii="Times New Roman" w:hAnsi="Times New Roman" w:cs="Times New Roman"/>
          <w:b/>
          <w:bCs/>
          <w:sz w:val="20"/>
          <w:szCs w:val="20"/>
          <w:lang w:val="en-MY"/>
        </w:rPr>
      </w:pPr>
      <w:proofErr w:type="spellStart"/>
      <w:r w:rsidRPr="006C528A">
        <w:rPr>
          <w:rFonts w:ascii="Times New Roman" w:hAnsi="Times New Roman" w:cs="Times New Roman"/>
          <w:b/>
          <w:bCs/>
          <w:sz w:val="20"/>
          <w:szCs w:val="20"/>
          <w:lang w:val="en-MY"/>
        </w:rPr>
        <w:t>edotco</w:t>
      </w:r>
      <w:proofErr w:type="spellEnd"/>
      <w:r w:rsidRPr="006C528A">
        <w:rPr>
          <w:rFonts w:ascii="Times New Roman" w:hAnsi="Times New Roman" w:cs="Times New Roman"/>
          <w:b/>
          <w:bCs/>
          <w:sz w:val="20"/>
          <w:szCs w:val="20"/>
          <w:lang w:val="en-MY"/>
        </w:rPr>
        <w:t xml:space="preserve"> Group </w:t>
      </w:r>
      <w:proofErr w:type="spellStart"/>
      <w:r w:rsidRPr="006C528A">
        <w:rPr>
          <w:rFonts w:ascii="Times New Roman" w:hAnsi="Times New Roman" w:cs="Times New Roman"/>
          <w:b/>
          <w:bCs/>
          <w:sz w:val="20"/>
          <w:szCs w:val="20"/>
          <w:lang w:val="en-MY"/>
        </w:rPr>
        <w:t>Sdn</w:t>
      </w:r>
      <w:proofErr w:type="spellEnd"/>
      <w:r w:rsidRPr="006C528A">
        <w:rPr>
          <w:rFonts w:ascii="Times New Roman" w:hAnsi="Times New Roman" w:cs="Times New Roman"/>
          <w:b/>
          <w:bCs/>
          <w:sz w:val="20"/>
          <w:szCs w:val="20"/>
          <w:lang w:val="en-MY"/>
        </w:rPr>
        <w:t xml:space="preserve"> </w:t>
      </w:r>
      <w:proofErr w:type="spellStart"/>
      <w:r w:rsidRPr="006C528A">
        <w:rPr>
          <w:rFonts w:ascii="Times New Roman" w:hAnsi="Times New Roman" w:cs="Times New Roman"/>
          <w:b/>
          <w:bCs/>
          <w:sz w:val="20"/>
          <w:szCs w:val="20"/>
          <w:lang w:val="en-MY"/>
        </w:rPr>
        <w:t>Bhd</w:t>
      </w:r>
      <w:proofErr w:type="spellEnd"/>
      <w:r w:rsidRPr="006C528A">
        <w:rPr>
          <w:rFonts w:ascii="Times New Roman" w:hAnsi="Times New Roman" w:cs="Times New Roman"/>
          <w:b/>
          <w:bCs/>
          <w:sz w:val="20"/>
          <w:szCs w:val="20"/>
          <w:lang w:val="en-MY"/>
        </w:rPr>
        <w:br/>
        <w:t>Group Strategy, Pricing &amp; Commercial</w:t>
      </w:r>
      <w:r w:rsidRPr="006C528A">
        <w:rPr>
          <w:rFonts w:ascii="Times New Roman" w:hAnsi="Times New Roman" w:cs="Times New Roman"/>
          <w:b/>
          <w:bCs/>
          <w:sz w:val="20"/>
          <w:szCs w:val="20"/>
          <w:lang w:val="en-MY"/>
        </w:rPr>
        <w:br/>
        <w:t>Kuala Lumpur, Malaysia | Aug 2017 – May 2019</w:t>
      </w:r>
    </w:p>
    <w:p w14:paraId="0186C591" w14:textId="77777777" w:rsidR="006C528A" w:rsidRPr="006C528A" w:rsidRDefault="006C528A" w:rsidP="006C528A">
      <w:pPr>
        <w:numPr>
          <w:ilvl w:val="0"/>
          <w:numId w:val="34"/>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Managed over 25,000 telecom towers valued at USD 4 billion, driving M&amp;A and business development strategies across APAC.</w:t>
      </w:r>
    </w:p>
    <w:p w14:paraId="2A55FAE2" w14:textId="507FD6E5" w:rsidR="006C528A" w:rsidRPr="006C528A" w:rsidRDefault="006C528A" w:rsidP="006C528A">
      <w:pPr>
        <w:numPr>
          <w:ilvl w:val="0"/>
          <w:numId w:val="34"/>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Executed cross-border M&amp;A deals, including the sale and leaseback of 10,000 towers</w:t>
      </w:r>
      <w:r w:rsidR="0067310A">
        <w:rPr>
          <w:rFonts w:ascii="Times New Roman" w:hAnsi="Times New Roman" w:cs="Times New Roman"/>
          <w:sz w:val="20"/>
          <w:szCs w:val="20"/>
          <w:lang w:val="en-MY"/>
        </w:rPr>
        <w:t xml:space="preserve"> valued at USD 2 billion</w:t>
      </w:r>
      <w:r w:rsidRPr="006C528A">
        <w:rPr>
          <w:rFonts w:ascii="Times New Roman" w:hAnsi="Times New Roman" w:cs="Times New Roman"/>
          <w:sz w:val="20"/>
          <w:szCs w:val="20"/>
          <w:lang w:val="en-MY"/>
        </w:rPr>
        <w:t xml:space="preserve"> in Malaysia, Philippines, Bangladesh, Myanmar, Cambodia, and Pakistan.</w:t>
      </w:r>
    </w:p>
    <w:p w14:paraId="3F867437" w14:textId="77777777" w:rsidR="006C528A" w:rsidRPr="006C528A" w:rsidRDefault="006C528A" w:rsidP="006C528A">
      <w:pPr>
        <w:tabs>
          <w:tab w:val="right" w:pos="9072"/>
        </w:tabs>
        <w:spacing w:after="0"/>
        <w:ind w:right="-46"/>
        <w:rPr>
          <w:rFonts w:ascii="Times New Roman" w:hAnsi="Times New Roman" w:cs="Times New Roman"/>
          <w:b/>
          <w:bCs/>
          <w:sz w:val="20"/>
          <w:szCs w:val="20"/>
          <w:lang w:val="en-MY"/>
        </w:rPr>
      </w:pPr>
      <w:r w:rsidRPr="006C528A">
        <w:rPr>
          <w:rFonts w:ascii="Times New Roman" w:hAnsi="Times New Roman" w:cs="Times New Roman"/>
          <w:b/>
          <w:bCs/>
          <w:sz w:val="20"/>
          <w:szCs w:val="20"/>
          <w:lang w:val="en-MY"/>
        </w:rPr>
        <w:t>Transaction Experience Highlights:</w:t>
      </w:r>
    </w:p>
    <w:p w14:paraId="2425253B" w14:textId="3B90A256" w:rsidR="006C528A" w:rsidRPr="006C528A" w:rsidRDefault="006C528A" w:rsidP="006C528A">
      <w:pPr>
        <w:numPr>
          <w:ilvl w:val="0"/>
          <w:numId w:val="35"/>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 xml:space="preserve">Spearheaded new business model and commercial terms for </w:t>
      </w:r>
      <w:r w:rsidR="0067310A">
        <w:rPr>
          <w:rFonts w:ascii="Times New Roman" w:hAnsi="Times New Roman" w:cs="Times New Roman"/>
          <w:sz w:val="20"/>
          <w:szCs w:val="20"/>
          <w:lang w:val="en-MY"/>
        </w:rPr>
        <w:t>the solar-powered</w:t>
      </w:r>
      <w:r w:rsidRPr="006C528A">
        <w:rPr>
          <w:rFonts w:ascii="Times New Roman" w:hAnsi="Times New Roman" w:cs="Times New Roman"/>
          <w:sz w:val="20"/>
          <w:szCs w:val="20"/>
          <w:lang w:val="en-MY"/>
        </w:rPr>
        <w:t xml:space="preserve"> fixed energy model, small cell, and in-building solution (IBS) leasing model.</w:t>
      </w:r>
    </w:p>
    <w:p w14:paraId="40120FEA" w14:textId="77777777" w:rsidR="006C528A" w:rsidRPr="006C528A" w:rsidRDefault="006C528A" w:rsidP="006C528A">
      <w:pPr>
        <w:numPr>
          <w:ilvl w:val="0"/>
          <w:numId w:val="35"/>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Initiated and completed sales and leaseback, carved out exercises for more than 5,000 telco towers in Myanmar, Cambodia, Pakistan, and Bangladesh.</w:t>
      </w:r>
    </w:p>
    <w:p w14:paraId="0FF968CA" w14:textId="77777777" w:rsidR="006C528A" w:rsidRPr="006C528A" w:rsidRDefault="006C528A" w:rsidP="006C528A">
      <w:pPr>
        <w:numPr>
          <w:ilvl w:val="0"/>
          <w:numId w:val="35"/>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Set up new operating corporations in Pakistan, Laos, and Philippines through acquisition and JV.</w:t>
      </w:r>
    </w:p>
    <w:p w14:paraId="2442DA6A" w14:textId="77777777" w:rsidR="006C528A" w:rsidRPr="006C528A" w:rsidRDefault="006C528A" w:rsidP="006C528A">
      <w:pPr>
        <w:tabs>
          <w:tab w:val="right" w:pos="9072"/>
        </w:tabs>
        <w:spacing w:after="0"/>
        <w:ind w:right="-46"/>
        <w:jc w:val="both"/>
        <w:rPr>
          <w:rFonts w:ascii="Times New Roman" w:hAnsi="Times New Roman" w:cs="Times New Roman"/>
          <w:sz w:val="20"/>
          <w:szCs w:val="20"/>
          <w:lang w:val="en-MY"/>
        </w:rPr>
      </w:pPr>
    </w:p>
    <w:p w14:paraId="6E35CC9F" w14:textId="6C737455" w:rsidR="006C528A" w:rsidRPr="006C528A" w:rsidRDefault="006C528A" w:rsidP="006C528A">
      <w:pPr>
        <w:tabs>
          <w:tab w:val="right" w:pos="9072"/>
        </w:tabs>
        <w:spacing w:after="0"/>
        <w:ind w:right="-46"/>
        <w:rPr>
          <w:rFonts w:ascii="Times New Roman" w:hAnsi="Times New Roman" w:cs="Times New Roman"/>
          <w:b/>
          <w:bCs/>
          <w:sz w:val="20"/>
          <w:szCs w:val="20"/>
          <w:lang w:val="en-MY"/>
        </w:rPr>
      </w:pPr>
      <w:r w:rsidRPr="006C528A">
        <w:rPr>
          <w:rFonts w:ascii="Times New Roman" w:hAnsi="Times New Roman" w:cs="Times New Roman"/>
          <w:b/>
          <w:bCs/>
          <w:sz w:val="20"/>
          <w:szCs w:val="20"/>
          <w:lang w:val="en-MY"/>
        </w:rPr>
        <w:t xml:space="preserve">RHB Investment Bank </w:t>
      </w:r>
      <w:proofErr w:type="spellStart"/>
      <w:r w:rsidRPr="006C528A">
        <w:rPr>
          <w:rFonts w:ascii="Times New Roman" w:hAnsi="Times New Roman" w:cs="Times New Roman"/>
          <w:b/>
          <w:bCs/>
          <w:sz w:val="20"/>
          <w:szCs w:val="20"/>
          <w:lang w:val="en-MY"/>
        </w:rPr>
        <w:t>Berhad</w:t>
      </w:r>
      <w:proofErr w:type="spellEnd"/>
      <w:r w:rsidRPr="006C528A">
        <w:rPr>
          <w:rFonts w:ascii="Times New Roman" w:hAnsi="Times New Roman" w:cs="Times New Roman"/>
          <w:b/>
          <w:bCs/>
          <w:sz w:val="20"/>
          <w:szCs w:val="20"/>
          <w:lang w:val="en-MY"/>
        </w:rPr>
        <w:br/>
        <w:t>Investment Banker</w:t>
      </w:r>
      <w:r w:rsidRPr="006C528A">
        <w:rPr>
          <w:rFonts w:ascii="Times New Roman" w:hAnsi="Times New Roman" w:cs="Times New Roman"/>
          <w:b/>
          <w:bCs/>
          <w:sz w:val="20"/>
          <w:szCs w:val="20"/>
          <w:lang w:val="en-MY"/>
        </w:rPr>
        <w:br/>
        <w:t>Kuala Lumpur, Malaysia | Nov 2016 – Aug 2017</w:t>
      </w:r>
    </w:p>
    <w:p w14:paraId="20F7D54B" w14:textId="77777777" w:rsidR="006C528A" w:rsidRPr="006C528A" w:rsidRDefault="006C528A" w:rsidP="006C528A">
      <w:pPr>
        <w:numPr>
          <w:ilvl w:val="0"/>
          <w:numId w:val="36"/>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Advised on IPOs, mergers, and acquisitions, including a RM 15 billion IPO in the energy sector and a RM 5 billion M&amp;A transaction.</w:t>
      </w:r>
    </w:p>
    <w:p w14:paraId="5EBE5684" w14:textId="77777777" w:rsidR="006C528A" w:rsidRPr="006C528A" w:rsidRDefault="006C528A" w:rsidP="006C528A">
      <w:pPr>
        <w:numPr>
          <w:ilvl w:val="0"/>
          <w:numId w:val="36"/>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Developed financial models and provided strategic advisory services to clients in the TMT and energy sectors.</w:t>
      </w:r>
    </w:p>
    <w:p w14:paraId="4709EF9A" w14:textId="77777777" w:rsidR="006C528A" w:rsidRPr="006C528A" w:rsidRDefault="006C528A" w:rsidP="006C528A">
      <w:pPr>
        <w:tabs>
          <w:tab w:val="right" w:pos="9072"/>
        </w:tabs>
        <w:spacing w:after="0"/>
        <w:ind w:right="-46"/>
        <w:jc w:val="both"/>
        <w:rPr>
          <w:rFonts w:ascii="Times New Roman" w:hAnsi="Times New Roman" w:cs="Times New Roman"/>
          <w:b/>
          <w:bCs/>
          <w:sz w:val="20"/>
          <w:szCs w:val="20"/>
          <w:lang w:val="en-MY"/>
        </w:rPr>
      </w:pPr>
      <w:r w:rsidRPr="006C528A">
        <w:rPr>
          <w:rFonts w:ascii="Times New Roman" w:hAnsi="Times New Roman" w:cs="Times New Roman"/>
          <w:b/>
          <w:bCs/>
          <w:sz w:val="20"/>
          <w:szCs w:val="20"/>
          <w:lang w:val="en-MY"/>
        </w:rPr>
        <w:t>Transaction Experience Highlights:</w:t>
      </w:r>
    </w:p>
    <w:p w14:paraId="6339C521" w14:textId="77777777" w:rsidR="006C528A" w:rsidRPr="006C528A" w:rsidRDefault="006C528A" w:rsidP="006C528A">
      <w:pPr>
        <w:numPr>
          <w:ilvl w:val="0"/>
          <w:numId w:val="37"/>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RM15 billion IPO in the energy industry and RM5 billion IPO in the construction industry.</w:t>
      </w:r>
    </w:p>
    <w:p w14:paraId="3A4C6931" w14:textId="77777777" w:rsidR="006C528A" w:rsidRPr="006C528A" w:rsidRDefault="006C528A" w:rsidP="006C528A">
      <w:pPr>
        <w:numPr>
          <w:ilvl w:val="0"/>
          <w:numId w:val="37"/>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RM4 billion mergers between a listed property developer and a construction company.</w:t>
      </w:r>
    </w:p>
    <w:p w14:paraId="206C4D5A" w14:textId="77777777" w:rsidR="006C528A" w:rsidRPr="006C528A" w:rsidRDefault="006C528A" w:rsidP="006C528A">
      <w:pPr>
        <w:numPr>
          <w:ilvl w:val="0"/>
          <w:numId w:val="37"/>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RM5 billion Sukuk offering for Edra Power Holdings.</w:t>
      </w:r>
    </w:p>
    <w:p w14:paraId="2FB9B6D6" w14:textId="77777777" w:rsidR="006C528A" w:rsidRDefault="006C528A" w:rsidP="006C528A">
      <w:pPr>
        <w:tabs>
          <w:tab w:val="right" w:pos="9072"/>
        </w:tabs>
        <w:spacing w:after="0"/>
        <w:ind w:right="-46"/>
        <w:rPr>
          <w:rFonts w:ascii="Times New Roman" w:hAnsi="Times New Roman" w:cs="Times New Roman"/>
          <w:b/>
          <w:bCs/>
          <w:sz w:val="20"/>
          <w:szCs w:val="20"/>
          <w:lang w:val="en-MY"/>
        </w:rPr>
      </w:pPr>
    </w:p>
    <w:p w14:paraId="75E03349" w14:textId="33C1DFF6" w:rsidR="006C528A" w:rsidRPr="006C528A" w:rsidRDefault="006C528A" w:rsidP="006C528A">
      <w:pPr>
        <w:tabs>
          <w:tab w:val="right" w:pos="9072"/>
        </w:tabs>
        <w:spacing w:after="0"/>
        <w:ind w:right="-46"/>
        <w:rPr>
          <w:rFonts w:ascii="Times New Roman" w:hAnsi="Times New Roman" w:cs="Times New Roman"/>
          <w:b/>
          <w:bCs/>
          <w:sz w:val="20"/>
          <w:szCs w:val="20"/>
          <w:lang w:val="en-MY"/>
        </w:rPr>
      </w:pPr>
      <w:proofErr w:type="spellStart"/>
      <w:r w:rsidRPr="006C528A">
        <w:rPr>
          <w:rFonts w:ascii="Times New Roman" w:hAnsi="Times New Roman" w:cs="Times New Roman"/>
          <w:b/>
          <w:bCs/>
          <w:sz w:val="20"/>
          <w:szCs w:val="20"/>
          <w:lang w:val="en-MY"/>
        </w:rPr>
        <w:t>REDtone</w:t>
      </w:r>
      <w:proofErr w:type="spellEnd"/>
      <w:r w:rsidRPr="006C528A">
        <w:rPr>
          <w:rFonts w:ascii="Times New Roman" w:hAnsi="Times New Roman" w:cs="Times New Roman"/>
          <w:b/>
          <w:bCs/>
          <w:sz w:val="20"/>
          <w:szCs w:val="20"/>
          <w:lang w:val="en-MY"/>
        </w:rPr>
        <w:t xml:space="preserve"> Telecommunication </w:t>
      </w:r>
      <w:proofErr w:type="spellStart"/>
      <w:r w:rsidRPr="006C528A">
        <w:rPr>
          <w:rFonts w:ascii="Times New Roman" w:hAnsi="Times New Roman" w:cs="Times New Roman"/>
          <w:b/>
          <w:bCs/>
          <w:sz w:val="20"/>
          <w:szCs w:val="20"/>
          <w:lang w:val="en-MY"/>
        </w:rPr>
        <w:t>Berhad</w:t>
      </w:r>
      <w:proofErr w:type="spellEnd"/>
      <w:r w:rsidRPr="006C528A">
        <w:rPr>
          <w:rFonts w:ascii="Times New Roman" w:hAnsi="Times New Roman" w:cs="Times New Roman"/>
          <w:b/>
          <w:bCs/>
          <w:sz w:val="20"/>
          <w:szCs w:val="20"/>
          <w:lang w:val="en-MY"/>
        </w:rPr>
        <w:br/>
        <w:t>Investment Analyst, CFO Office</w:t>
      </w:r>
      <w:r w:rsidRPr="006C528A">
        <w:rPr>
          <w:rFonts w:ascii="Times New Roman" w:hAnsi="Times New Roman" w:cs="Times New Roman"/>
          <w:b/>
          <w:bCs/>
          <w:sz w:val="20"/>
          <w:szCs w:val="20"/>
          <w:lang w:val="en-MY"/>
        </w:rPr>
        <w:br/>
        <w:t>Kuala Lumpur, Malaysia | Dec 2014 – Oct 2016</w:t>
      </w:r>
    </w:p>
    <w:p w14:paraId="351C5D33" w14:textId="77777777" w:rsidR="006C528A" w:rsidRPr="006C528A" w:rsidRDefault="006C528A" w:rsidP="006C528A">
      <w:pPr>
        <w:numPr>
          <w:ilvl w:val="0"/>
          <w:numId w:val="38"/>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Designed forecasting and valuation models to evaluate business cases and acquisitions in Malaysia and India.</w:t>
      </w:r>
    </w:p>
    <w:p w14:paraId="1C3033BD" w14:textId="77777777" w:rsidR="006C528A" w:rsidRPr="006C528A" w:rsidRDefault="006C528A" w:rsidP="006C528A">
      <w:pPr>
        <w:numPr>
          <w:ilvl w:val="0"/>
          <w:numId w:val="38"/>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Participated in establishing new business models in telecommunication and healthcare infrastructure sectors.</w:t>
      </w:r>
    </w:p>
    <w:p w14:paraId="003D94B5" w14:textId="08B6EA18" w:rsidR="006C528A" w:rsidRPr="006C528A" w:rsidRDefault="006C528A" w:rsidP="006C528A">
      <w:pPr>
        <w:numPr>
          <w:ilvl w:val="0"/>
          <w:numId w:val="38"/>
        </w:numPr>
        <w:tabs>
          <w:tab w:val="clear" w:pos="720"/>
          <w:tab w:val="num" w:pos="225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Developed a transformation plan and set a KPI framework for a new business to ensure solid growth.</w:t>
      </w:r>
    </w:p>
    <w:p w14:paraId="014B4469" w14:textId="77777777" w:rsidR="006C528A" w:rsidRDefault="006C528A" w:rsidP="006C528A">
      <w:pPr>
        <w:tabs>
          <w:tab w:val="right" w:pos="9072"/>
        </w:tabs>
        <w:spacing w:after="0"/>
        <w:ind w:right="-46"/>
        <w:rPr>
          <w:rFonts w:ascii="Times New Roman" w:hAnsi="Times New Roman" w:cs="Times New Roman"/>
          <w:b/>
          <w:bCs/>
          <w:sz w:val="20"/>
          <w:szCs w:val="20"/>
          <w:lang w:val="en-MY"/>
        </w:rPr>
      </w:pPr>
    </w:p>
    <w:p w14:paraId="557E9C53" w14:textId="02A7FAC0" w:rsidR="006C528A" w:rsidRPr="006C528A" w:rsidRDefault="006C528A" w:rsidP="006C528A">
      <w:pPr>
        <w:tabs>
          <w:tab w:val="right" w:pos="9072"/>
        </w:tabs>
        <w:spacing w:after="0"/>
        <w:ind w:right="-46"/>
        <w:rPr>
          <w:rFonts w:ascii="Times New Roman" w:hAnsi="Times New Roman" w:cs="Times New Roman"/>
          <w:b/>
          <w:bCs/>
          <w:sz w:val="20"/>
          <w:szCs w:val="20"/>
          <w:lang w:val="en-MY"/>
        </w:rPr>
      </w:pPr>
      <w:r w:rsidRPr="006C528A">
        <w:rPr>
          <w:rFonts w:ascii="Times New Roman" w:hAnsi="Times New Roman" w:cs="Times New Roman"/>
          <w:b/>
          <w:bCs/>
          <w:sz w:val="20"/>
          <w:szCs w:val="20"/>
          <w:lang w:val="en-MY"/>
        </w:rPr>
        <w:t>Purdue University Statistics Department</w:t>
      </w:r>
      <w:r w:rsidRPr="006C528A">
        <w:rPr>
          <w:rFonts w:ascii="Times New Roman" w:hAnsi="Times New Roman" w:cs="Times New Roman"/>
          <w:b/>
          <w:bCs/>
          <w:sz w:val="20"/>
          <w:szCs w:val="20"/>
          <w:lang w:val="en-MY"/>
        </w:rPr>
        <w:br/>
        <w:t>Research Assistant, Stochastic Modelling</w:t>
      </w:r>
      <w:r w:rsidRPr="006C528A">
        <w:rPr>
          <w:rFonts w:ascii="Times New Roman" w:hAnsi="Times New Roman" w:cs="Times New Roman"/>
          <w:b/>
          <w:bCs/>
          <w:sz w:val="20"/>
          <w:szCs w:val="20"/>
          <w:lang w:val="en-MY"/>
        </w:rPr>
        <w:br/>
        <w:t>Indiana, United States | May 2011 – May 2013</w:t>
      </w:r>
    </w:p>
    <w:p w14:paraId="753FFB4F" w14:textId="77777777" w:rsidR="006C528A" w:rsidRPr="006C528A" w:rsidRDefault="006C528A" w:rsidP="006C528A">
      <w:pPr>
        <w:numPr>
          <w:ilvl w:val="0"/>
          <w:numId w:val="39"/>
        </w:numPr>
        <w:tabs>
          <w:tab w:val="clear" w:pos="720"/>
          <w:tab w:val="num" w:pos="126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 xml:space="preserve">Performed stochastic </w:t>
      </w:r>
      <w:proofErr w:type="spellStart"/>
      <w:r w:rsidRPr="006C528A">
        <w:rPr>
          <w:rFonts w:ascii="Times New Roman" w:hAnsi="Times New Roman" w:cs="Times New Roman"/>
          <w:sz w:val="20"/>
          <w:szCs w:val="20"/>
          <w:lang w:val="en-MY"/>
        </w:rPr>
        <w:t>modeling</w:t>
      </w:r>
      <w:proofErr w:type="spellEnd"/>
      <w:r w:rsidRPr="006C528A">
        <w:rPr>
          <w:rFonts w:ascii="Times New Roman" w:hAnsi="Times New Roman" w:cs="Times New Roman"/>
          <w:sz w:val="20"/>
          <w:szCs w:val="20"/>
          <w:lang w:val="en-MY"/>
        </w:rPr>
        <w:t xml:space="preserve"> and financial </w:t>
      </w:r>
      <w:proofErr w:type="spellStart"/>
      <w:r w:rsidRPr="006C528A">
        <w:rPr>
          <w:rFonts w:ascii="Times New Roman" w:hAnsi="Times New Roman" w:cs="Times New Roman"/>
          <w:sz w:val="20"/>
          <w:szCs w:val="20"/>
          <w:lang w:val="en-MY"/>
        </w:rPr>
        <w:t>modeling</w:t>
      </w:r>
      <w:proofErr w:type="spellEnd"/>
      <w:r w:rsidRPr="006C528A">
        <w:rPr>
          <w:rFonts w:ascii="Times New Roman" w:hAnsi="Times New Roman" w:cs="Times New Roman"/>
          <w:sz w:val="20"/>
          <w:szCs w:val="20"/>
          <w:lang w:val="en-MY"/>
        </w:rPr>
        <w:t xml:space="preserve"> on listed companies.</w:t>
      </w:r>
    </w:p>
    <w:p w14:paraId="32990827" w14:textId="77777777" w:rsidR="006C528A" w:rsidRPr="006C528A" w:rsidRDefault="006C528A" w:rsidP="006C528A">
      <w:pPr>
        <w:numPr>
          <w:ilvl w:val="0"/>
          <w:numId w:val="39"/>
        </w:numPr>
        <w:tabs>
          <w:tab w:val="clear" w:pos="720"/>
          <w:tab w:val="num" w:pos="126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Assisted in technical analysis research on trends and forecasts.</w:t>
      </w:r>
    </w:p>
    <w:p w14:paraId="415A31B0" w14:textId="3F8C2D83" w:rsidR="00770BEC" w:rsidRPr="006C528A" w:rsidRDefault="006C528A" w:rsidP="006C528A">
      <w:pPr>
        <w:numPr>
          <w:ilvl w:val="0"/>
          <w:numId w:val="39"/>
        </w:numPr>
        <w:tabs>
          <w:tab w:val="clear" w:pos="720"/>
          <w:tab w:val="num" w:pos="1260"/>
          <w:tab w:val="right" w:pos="9072"/>
        </w:tabs>
        <w:spacing w:after="0"/>
        <w:ind w:left="360" w:right="-46"/>
        <w:jc w:val="both"/>
        <w:rPr>
          <w:rFonts w:ascii="Times New Roman" w:hAnsi="Times New Roman" w:cs="Times New Roman"/>
          <w:sz w:val="20"/>
          <w:szCs w:val="20"/>
          <w:lang w:val="en-MY"/>
        </w:rPr>
      </w:pPr>
      <w:r w:rsidRPr="006C528A">
        <w:rPr>
          <w:rFonts w:ascii="Times New Roman" w:hAnsi="Times New Roman" w:cs="Times New Roman"/>
          <w:sz w:val="20"/>
          <w:szCs w:val="20"/>
          <w:lang w:val="en-MY"/>
        </w:rPr>
        <w:t xml:space="preserve">Managed database and data </w:t>
      </w:r>
      <w:proofErr w:type="spellStart"/>
      <w:r w:rsidRPr="006C528A">
        <w:rPr>
          <w:rFonts w:ascii="Times New Roman" w:hAnsi="Times New Roman" w:cs="Times New Roman"/>
          <w:sz w:val="20"/>
          <w:szCs w:val="20"/>
          <w:lang w:val="en-MY"/>
        </w:rPr>
        <w:t>modeling</w:t>
      </w:r>
      <w:proofErr w:type="spellEnd"/>
      <w:r w:rsidRPr="006C528A">
        <w:rPr>
          <w:rFonts w:ascii="Times New Roman" w:hAnsi="Times New Roman" w:cs="Times New Roman"/>
          <w:sz w:val="20"/>
          <w:szCs w:val="20"/>
          <w:lang w:val="en-MY"/>
        </w:rPr>
        <w:t xml:space="preserve"> with R programming and Python.</w:t>
      </w:r>
    </w:p>
    <w:p w14:paraId="3832B5C5" w14:textId="77777777" w:rsidR="00BA0CE3" w:rsidRPr="006C528A" w:rsidRDefault="00BA0CE3" w:rsidP="0068098E">
      <w:pPr>
        <w:tabs>
          <w:tab w:val="right" w:pos="9072"/>
        </w:tabs>
        <w:spacing w:after="0"/>
        <w:ind w:right="-46"/>
        <w:jc w:val="both"/>
        <w:rPr>
          <w:rFonts w:ascii="Times New Roman" w:hAnsi="Times New Roman" w:cs="Times New Roman"/>
          <w:sz w:val="20"/>
          <w:szCs w:val="20"/>
        </w:rPr>
      </w:pPr>
    </w:p>
    <w:p w14:paraId="3C31013B" w14:textId="77777777" w:rsidR="006E7322" w:rsidRPr="006C528A" w:rsidRDefault="006E7322" w:rsidP="0068098E">
      <w:pPr>
        <w:pBdr>
          <w:bottom w:val="single" w:sz="4" w:space="1" w:color="auto"/>
        </w:pBdr>
        <w:ind w:right="-46"/>
        <w:rPr>
          <w:rFonts w:ascii="Times New Roman" w:hAnsi="Times New Roman" w:cs="Times New Roman"/>
          <w:b/>
          <w:sz w:val="20"/>
          <w:szCs w:val="20"/>
        </w:rPr>
      </w:pPr>
      <w:r w:rsidRPr="006C528A">
        <w:rPr>
          <w:rFonts w:ascii="Times New Roman" w:hAnsi="Times New Roman" w:cs="Times New Roman"/>
          <w:b/>
          <w:sz w:val="20"/>
          <w:szCs w:val="20"/>
        </w:rPr>
        <w:t>EDUCATION</w:t>
      </w:r>
    </w:p>
    <w:p w14:paraId="3F091B89" w14:textId="77777777" w:rsidR="006E7322" w:rsidRPr="006C528A" w:rsidRDefault="006E7322" w:rsidP="0068098E">
      <w:pPr>
        <w:pStyle w:val="ResumeAlignRight"/>
        <w:ind w:right="-46"/>
        <w:rPr>
          <w:b/>
          <w:sz w:val="20"/>
          <w:szCs w:val="20"/>
        </w:rPr>
      </w:pPr>
      <w:r w:rsidRPr="006C528A">
        <w:rPr>
          <w:b/>
          <w:sz w:val="20"/>
          <w:szCs w:val="20"/>
        </w:rPr>
        <w:t>CFA Institution</w:t>
      </w:r>
      <w:r w:rsidRPr="006C528A">
        <w:rPr>
          <w:b/>
          <w:sz w:val="20"/>
          <w:szCs w:val="20"/>
        </w:rPr>
        <w:tab/>
      </w:r>
    </w:p>
    <w:p w14:paraId="5B722E36" w14:textId="77777777" w:rsidR="006E7322" w:rsidRPr="006C528A" w:rsidRDefault="008600D4" w:rsidP="0068098E">
      <w:pPr>
        <w:pStyle w:val="ResumeAlignRight"/>
        <w:ind w:right="-46"/>
        <w:rPr>
          <w:b/>
          <w:sz w:val="20"/>
          <w:szCs w:val="20"/>
        </w:rPr>
      </w:pPr>
      <w:r w:rsidRPr="006C528A">
        <w:rPr>
          <w:b/>
          <w:sz w:val="20"/>
          <w:szCs w:val="20"/>
        </w:rPr>
        <w:t>Passed CFA Level 2</w:t>
      </w:r>
      <w:r w:rsidR="006E7322" w:rsidRPr="006C528A">
        <w:rPr>
          <w:b/>
          <w:sz w:val="20"/>
          <w:szCs w:val="20"/>
        </w:rPr>
        <w:tab/>
      </w:r>
    </w:p>
    <w:p w14:paraId="4663A67B" w14:textId="77777777" w:rsidR="006E7322" w:rsidRPr="006C528A" w:rsidRDefault="006E7322" w:rsidP="0068098E">
      <w:pPr>
        <w:pStyle w:val="ResumeAlignRight"/>
        <w:ind w:right="-46"/>
        <w:rPr>
          <w:b/>
          <w:sz w:val="20"/>
          <w:szCs w:val="20"/>
        </w:rPr>
      </w:pPr>
    </w:p>
    <w:p w14:paraId="77F6A6DB" w14:textId="77777777" w:rsidR="006E7322" w:rsidRPr="006C528A" w:rsidRDefault="00D411DA" w:rsidP="00D411DA">
      <w:pPr>
        <w:pStyle w:val="ResumeAlignRight"/>
        <w:tabs>
          <w:tab w:val="clear" w:pos="10080"/>
          <w:tab w:val="right" w:pos="9000"/>
        </w:tabs>
        <w:ind w:right="-46"/>
        <w:rPr>
          <w:b/>
          <w:sz w:val="20"/>
          <w:szCs w:val="20"/>
        </w:rPr>
      </w:pPr>
      <w:r w:rsidRPr="006C528A">
        <w:rPr>
          <w:b/>
          <w:sz w:val="20"/>
          <w:szCs w:val="20"/>
        </w:rPr>
        <w:t>Purdue University</w:t>
      </w:r>
      <w:r w:rsidRPr="006C528A">
        <w:rPr>
          <w:b/>
          <w:sz w:val="20"/>
          <w:szCs w:val="20"/>
        </w:rPr>
        <w:tab/>
      </w:r>
      <w:r w:rsidR="006E7322" w:rsidRPr="006C528A">
        <w:rPr>
          <w:b/>
          <w:sz w:val="20"/>
          <w:szCs w:val="20"/>
        </w:rPr>
        <w:t>Indiana, United States of America</w:t>
      </w:r>
    </w:p>
    <w:p w14:paraId="4C6C0828" w14:textId="77777777" w:rsidR="006E7322" w:rsidRPr="006C528A" w:rsidRDefault="006E7322" w:rsidP="00D411DA">
      <w:pPr>
        <w:pStyle w:val="ResumeAlignRight"/>
        <w:tabs>
          <w:tab w:val="clear" w:pos="10080"/>
          <w:tab w:val="right" w:pos="9000"/>
        </w:tabs>
        <w:ind w:right="-46"/>
        <w:rPr>
          <w:b/>
          <w:sz w:val="20"/>
          <w:szCs w:val="20"/>
        </w:rPr>
      </w:pPr>
      <w:r w:rsidRPr="006C528A">
        <w:rPr>
          <w:b/>
          <w:sz w:val="20"/>
          <w:szCs w:val="20"/>
        </w:rPr>
        <w:t>Bachelor of Science in Actuarial Science and Applied Statistics</w:t>
      </w:r>
      <w:r w:rsidRPr="006C528A">
        <w:rPr>
          <w:b/>
          <w:sz w:val="20"/>
          <w:szCs w:val="20"/>
        </w:rPr>
        <w:tab/>
      </w:r>
      <w:r w:rsidR="001B5C65" w:rsidRPr="006C528A">
        <w:rPr>
          <w:b/>
          <w:sz w:val="20"/>
          <w:szCs w:val="20"/>
        </w:rPr>
        <w:t>May 2013</w:t>
      </w:r>
    </w:p>
    <w:p w14:paraId="6781D63F" w14:textId="77777777" w:rsidR="006E7322" w:rsidRPr="006C528A" w:rsidRDefault="006E7322" w:rsidP="0068098E">
      <w:pPr>
        <w:pStyle w:val="ResumeAlignRight"/>
        <w:tabs>
          <w:tab w:val="left" w:pos="360"/>
        </w:tabs>
        <w:ind w:right="-46"/>
        <w:rPr>
          <w:sz w:val="20"/>
          <w:szCs w:val="20"/>
        </w:rPr>
      </w:pPr>
    </w:p>
    <w:p w14:paraId="5A7430D6" w14:textId="77777777" w:rsidR="00BA0CE3" w:rsidRPr="006C528A" w:rsidRDefault="00BA0CE3" w:rsidP="0068098E">
      <w:pPr>
        <w:pStyle w:val="ResumeAlignRight"/>
        <w:pBdr>
          <w:bottom w:val="single" w:sz="4" w:space="1" w:color="auto"/>
        </w:pBdr>
        <w:tabs>
          <w:tab w:val="left" w:pos="360"/>
        </w:tabs>
        <w:ind w:right="-46"/>
        <w:rPr>
          <w:b/>
          <w:sz w:val="20"/>
          <w:szCs w:val="20"/>
        </w:rPr>
      </w:pPr>
    </w:p>
    <w:p w14:paraId="7B05286B" w14:textId="1433CF0E" w:rsidR="006E7322" w:rsidRPr="006C528A" w:rsidRDefault="006E7322" w:rsidP="0068098E">
      <w:pPr>
        <w:pStyle w:val="ResumeAlignRight"/>
        <w:pBdr>
          <w:bottom w:val="single" w:sz="4" w:space="1" w:color="auto"/>
        </w:pBdr>
        <w:tabs>
          <w:tab w:val="left" w:pos="360"/>
        </w:tabs>
        <w:ind w:right="-46"/>
        <w:rPr>
          <w:b/>
          <w:sz w:val="20"/>
          <w:szCs w:val="20"/>
        </w:rPr>
      </w:pPr>
      <w:r w:rsidRPr="006C528A">
        <w:rPr>
          <w:b/>
          <w:sz w:val="20"/>
          <w:szCs w:val="20"/>
        </w:rPr>
        <w:t>SKILLS, CERTIFICATIONS &amp; INTERESTS</w:t>
      </w:r>
    </w:p>
    <w:p w14:paraId="0FEC828A" w14:textId="77777777" w:rsidR="003146AC" w:rsidRPr="006C528A" w:rsidRDefault="003146AC" w:rsidP="001B5C65">
      <w:pPr>
        <w:pStyle w:val="ResumeAlignRight"/>
        <w:tabs>
          <w:tab w:val="left" w:pos="1985"/>
        </w:tabs>
        <w:ind w:right="-46"/>
        <w:rPr>
          <w:b/>
          <w:sz w:val="20"/>
          <w:szCs w:val="20"/>
        </w:rPr>
      </w:pPr>
    </w:p>
    <w:p w14:paraId="7F58B0BC" w14:textId="06402367" w:rsidR="006E7322" w:rsidRPr="006C528A" w:rsidRDefault="001B5C65" w:rsidP="001B5C65">
      <w:pPr>
        <w:pStyle w:val="ResumeAlignRight"/>
        <w:tabs>
          <w:tab w:val="left" w:pos="1985"/>
        </w:tabs>
        <w:ind w:right="-46"/>
        <w:rPr>
          <w:sz w:val="20"/>
          <w:szCs w:val="20"/>
        </w:rPr>
      </w:pPr>
      <w:r w:rsidRPr="006C528A">
        <w:rPr>
          <w:b/>
          <w:sz w:val="20"/>
          <w:szCs w:val="20"/>
        </w:rPr>
        <w:t>Language Skill</w:t>
      </w:r>
      <w:r w:rsidRPr="006C528A">
        <w:rPr>
          <w:sz w:val="20"/>
          <w:szCs w:val="20"/>
        </w:rPr>
        <w:t xml:space="preserve">: </w:t>
      </w:r>
      <w:r w:rsidR="00A3771E" w:rsidRPr="006C528A">
        <w:rPr>
          <w:sz w:val="20"/>
          <w:szCs w:val="20"/>
        </w:rPr>
        <w:t xml:space="preserve"> </w:t>
      </w:r>
      <w:r w:rsidRPr="006C528A">
        <w:rPr>
          <w:sz w:val="20"/>
          <w:szCs w:val="20"/>
        </w:rPr>
        <w:t xml:space="preserve">Fluent in </w:t>
      </w:r>
      <w:r w:rsidR="006E2F10" w:rsidRPr="006C528A">
        <w:rPr>
          <w:sz w:val="20"/>
          <w:szCs w:val="20"/>
        </w:rPr>
        <w:t xml:space="preserve">English, </w:t>
      </w:r>
      <w:r w:rsidR="006E7322" w:rsidRPr="006C528A">
        <w:rPr>
          <w:sz w:val="20"/>
          <w:szCs w:val="20"/>
        </w:rPr>
        <w:t>Mandarin, Canton</w:t>
      </w:r>
      <w:r w:rsidRPr="006C528A">
        <w:rPr>
          <w:sz w:val="20"/>
          <w:szCs w:val="20"/>
        </w:rPr>
        <w:t xml:space="preserve">ese, and </w:t>
      </w:r>
      <w:r w:rsidR="003146AC" w:rsidRPr="006C528A">
        <w:rPr>
          <w:sz w:val="20"/>
          <w:szCs w:val="20"/>
        </w:rPr>
        <w:t>Malay</w:t>
      </w:r>
    </w:p>
    <w:p w14:paraId="08811CE1" w14:textId="7E950FA8" w:rsidR="006E7322" w:rsidRPr="006C528A" w:rsidRDefault="001B5C65" w:rsidP="00A3771E">
      <w:pPr>
        <w:pStyle w:val="ResumeAlignRight"/>
        <w:ind w:right="-46"/>
        <w:rPr>
          <w:b/>
          <w:sz w:val="20"/>
          <w:szCs w:val="20"/>
        </w:rPr>
      </w:pPr>
      <w:r w:rsidRPr="006C528A">
        <w:rPr>
          <w:b/>
          <w:sz w:val="20"/>
          <w:szCs w:val="20"/>
        </w:rPr>
        <w:t>Programming</w:t>
      </w:r>
      <w:r w:rsidRPr="006C528A">
        <w:rPr>
          <w:sz w:val="20"/>
          <w:szCs w:val="20"/>
        </w:rPr>
        <w:t xml:space="preserve">: </w:t>
      </w:r>
      <w:r w:rsidR="00A3771E" w:rsidRPr="006C528A">
        <w:rPr>
          <w:sz w:val="20"/>
          <w:szCs w:val="20"/>
        </w:rPr>
        <w:t xml:space="preserve">  </w:t>
      </w:r>
      <w:r w:rsidRPr="006C528A">
        <w:rPr>
          <w:sz w:val="20"/>
          <w:szCs w:val="20"/>
        </w:rPr>
        <w:t>SQL</w:t>
      </w:r>
      <w:r w:rsidR="00896785" w:rsidRPr="006C528A">
        <w:rPr>
          <w:sz w:val="20"/>
          <w:szCs w:val="20"/>
        </w:rPr>
        <w:t>,</w:t>
      </w:r>
      <w:r w:rsidRPr="006C528A">
        <w:rPr>
          <w:sz w:val="20"/>
          <w:szCs w:val="20"/>
        </w:rPr>
        <w:t xml:space="preserve"> R Programming</w:t>
      </w:r>
      <w:r w:rsidR="00C568EB" w:rsidRPr="006C528A">
        <w:rPr>
          <w:sz w:val="20"/>
          <w:szCs w:val="20"/>
        </w:rPr>
        <w:t>,</w:t>
      </w:r>
      <w:r w:rsidRPr="006C528A">
        <w:rPr>
          <w:sz w:val="20"/>
          <w:szCs w:val="20"/>
        </w:rPr>
        <w:t xml:space="preserve"> and Python</w:t>
      </w:r>
    </w:p>
    <w:p w14:paraId="5C3D8B86" w14:textId="44F369A1" w:rsidR="001B5C65" w:rsidRPr="006C528A" w:rsidRDefault="001B5C65" w:rsidP="001B5C65">
      <w:pPr>
        <w:pStyle w:val="ResumeAlignRight"/>
        <w:tabs>
          <w:tab w:val="left" w:pos="1985"/>
        </w:tabs>
        <w:ind w:right="-46"/>
        <w:rPr>
          <w:sz w:val="20"/>
          <w:szCs w:val="20"/>
        </w:rPr>
      </w:pPr>
      <w:r w:rsidRPr="006C528A">
        <w:rPr>
          <w:b/>
          <w:sz w:val="20"/>
          <w:szCs w:val="20"/>
        </w:rPr>
        <w:t>Analytic Tools</w:t>
      </w:r>
      <w:r w:rsidRPr="006C528A">
        <w:rPr>
          <w:sz w:val="20"/>
          <w:szCs w:val="20"/>
        </w:rPr>
        <w:t xml:space="preserve">: </w:t>
      </w:r>
      <w:r w:rsidR="00A3771E" w:rsidRPr="006C528A">
        <w:rPr>
          <w:sz w:val="20"/>
          <w:szCs w:val="20"/>
        </w:rPr>
        <w:t xml:space="preserve"> </w:t>
      </w:r>
      <w:r w:rsidRPr="006C528A">
        <w:rPr>
          <w:sz w:val="20"/>
          <w:szCs w:val="20"/>
        </w:rPr>
        <w:t>VBA Excel</w:t>
      </w:r>
      <w:r w:rsidR="00C568EB" w:rsidRPr="006C528A">
        <w:rPr>
          <w:sz w:val="20"/>
          <w:szCs w:val="20"/>
        </w:rPr>
        <w:t>, Tableau, Bloomberg,</w:t>
      </w:r>
      <w:r w:rsidRPr="006C528A">
        <w:rPr>
          <w:sz w:val="20"/>
          <w:szCs w:val="20"/>
        </w:rPr>
        <w:t xml:space="preserve"> and Capital IQ </w:t>
      </w:r>
    </w:p>
    <w:sectPr w:rsidR="001B5C65" w:rsidRPr="006C528A" w:rsidSect="00A06545">
      <w:pgSz w:w="11906" w:h="16838"/>
      <w:pgMar w:top="270" w:right="1440" w:bottom="3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94995" w14:textId="77777777" w:rsidR="00CA41AC" w:rsidRDefault="00CA41AC" w:rsidP="00A06545">
      <w:pPr>
        <w:spacing w:after="0" w:line="240" w:lineRule="auto"/>
      </w:pPr>
      <w:r>
        <w:separator/>
      </w:r>
    </w:p>
  </w:endnote>
  <w:endnote w:type="continuationSeparator" w:id="0">
    <w:p w14:paraId="6B79EB62" w14:textId="77777777" w:rsidR="00CA41AC" w:rsidRDefault="00CA41AC" w:rsidP="00A0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F853B" w14:textId="77777777" w:rsidR="00CA41AC" w:rsidRDefault="00CA41AC" w:rsidP="00A06545">
      <w:pPr>
        <w:spacing w:after="0" w:line="240" w:lineRule="auto"/>
      </w:pPr>
      <w:r>
        <w:separator/>
      </w:r>
    </w:p>
  </w:footnote>
  <w:footnote w:type="continuationSeparator" w:id="0">
    <w:p w14:paraId="7F54FA80" w14:textId="77777777" w:rsidR="00CA41AC" w:rsidRDefault="00CA41AC" w:rsidP="00A06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392"/>
    <w:multiLevelType w:val="multilevel"/>
    <w:tmpl w:val="0236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4414"/>
    <w:multiLevelType w:val="hybridMultilevel"/>
    <w:tmpl w:val="114AC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D0F96"/>
    <w:multiLevelType w:val="hybridMultilevel"/>
    <w:tmpl w:val="454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548C1"/>
    <w:multiLevelType w:val="hybridMultilevel"/>
    <w:tmpl w:val="9440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92413"/>
    <w:multiLevelType w:val="multilevel"/>
    <w:tmpl w:val="67E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2779E"/>
    <w:multiLevelType w:val="hybridMultilevel"/>
    <w:tmpl w:val="7942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3203B"/>
    <w:multiLevelType w:val="hybridMultilevel"/>
    <w:tmpl w:val="5368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57E42"/>
    <w:multiLevelType w:val="hybridMultilevel"/>
    <w:tmpl w:val="0D8E4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075E0C"/>
    <w:multiLevelType w:val="multilevel"/>
    <w:tmpl w:val="653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F4981"/>
    <w:multiLevelType w:val="multilevel"/>
    <w:tmpl w:val="341E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A789F"/>
    <w:multiLevelType w:val="multilevel"/>
    <w:tmpl w:val="857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C6D22"/>
    <w:multiLevelType w:val="hybridMultilevel"/>
    <w:tmpl w:val="E2B0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E286F"/>
    <w:multiLevelType w:val="multilevel"/>
    <w:tmpl w:val="AA36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113A3"/>
    <w:multiLevelType w:val="multilevel"/>
    <w:tmpl w:val="23C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43198"/>
    <w:multiLevelType w:val="multilevel"/>
    <w:tmpl w:val="8AE6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51526"/>
    <w:multiLevelType w:val="hybridMultilevel"/>
    <w:tmpl w:val="13A4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22DCA"/>
    <w:multiLevelType w:val="multilevel"/>
    <w:tmpl w:val="BD4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2265A"/>
    <w:multiLevelType w:val="hybridMultilevel"/>
    <w:tmpl w:val="13040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A35971"/>
    <w:multiLevelType w:val="hybridMultilevel"/>
    <w:tmpl w:val="15CCA6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32A93987"/>
    <w:multiLevelType w:val="hybridMultilevel"/>
    <w:tmpl w:val="6622B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AD5133"/>
    <w:multiLevelType w:val="multilevel"/>
    <w:tmpl w:val="917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C3ADF"/>
    <w:multiLevelType w:val="hybridMultilevel"/>
    <w:tmpl w:val="7C20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EA08C1"/>
    <w:multiLevelType w:val="hybridMultilevel"/>
    <w:tmpl w:val="2E1A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11225"/>
    <w:multiLevelType w:val="hybridMultilevel"/>
    <w:tmpl w:val="A868387E"/>
    <w:lvl w:ilvl="0" w:tplc="1E9C876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6E76E2"/>
    <w:multiLevelType w:val="multilevel"/>
    <w:tmpl w:val="060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E4481"/>
    <w:multiLevelType w:val="hybridMultilevel"/>
    <w:tmpl w:val="9D320F4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6F3951"/>
    <w:multiLevelType w:val="hybridMultilevel"/>
    <w:tmpl w:val="1DE2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B208C9"/>
    <w:multiLevelType w:val="hybridMultilevel"/>
    <w:tmpl w:val="5BE2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00C53"/>
    <w:multiLevelType w:val="hybridMultilevel"/>
    <w:tmpl w:val="19E847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13921B8"/>
    <w:multiLevelType w:val="multilevel"/>
    <w:tmpl w:val="A5B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563BE"/>
    <w:multiLevelType w:val="hybridMultilevel"/>
    <w:tmpl w:val="67A80B2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50389F"/>
    <w:multiLevelType w:val="hybridMultilevel"/>
    <w:tmpl w:val="E0D272B0"/>
    <w:lvl w:ilvl="0" w:tplc="08090001">
      <w:start w:val="1"/>
      <w:numFmt w:val="bullet"/>
      <w:lvlText w:val=""/>
      <w:lvlJc w:val="left"/>
      <w:pPr>
        <w:ind w:left="720" w:hanging="360"/>
      </w:pPr>
      <w:rPr>
        <w:rFonts w:ascii="Symbol" w:hAnsi="Symbol" w:hint="default"/>
      </w:rPr>
    </w:lvl>
    <w:lvl w:ilvl="1" w:tplc="1E9C8766">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F96519"/>
    <w:multiLevelType w:val="hybridMultilevel"/>
    <w:tmpl w:val="779E5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EF54E8"/>
    <w:multiLevelType w:val="hybridMultilevel"/>
    <w:tmpl w:val="D47C31C2"/>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1E9C8766">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043D36"/>
    <w:multiLevelType w:val="multilevel"/>
    <w:tmpl w:val="2078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D04C2"/>
    <w:multiLevelType w:val="hybridMultilevel"/>
    <w:tmpl w:val="5232ADAA"/>
    <w:lvl w:ilvl="0" w:tplc="517A20C4">
      <w:start w:val="1"/>
      <w:numFmt w:val="bullet"/>
      <w:lvlText w:val=""/>
      <w:lvlJc w:val="left"/>
      <w:pPr>
        <w:tabs>
          <w:tab w:val="num" w:pos="4584"/>
        </w:tabs>
        <w:ind w:left="458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EA1DD5"/>
    <w:multiLevelType w:val="multilevel"/>
    <w:tmpl w:val="3E8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866DF"/>
    <w:multiLevelType w:val="hybridMultilevel"/>
    <w:tmpl w:val="87868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9D33D2"/>
    <w:multiLevelType w:val="multilevel"/>
    <w:tmpl w:val="7814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D107A"/>
    <w:multiLevelType w:val="multilevel"/>
    <w:tmpl w:val="973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D6469C"/>
    <w:multiLevelType w:val="multilevel"/>
    <w:tmpl w:val="195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F6586C"/>
    <w:multiLevelType w:val="multilevel"/>
    <w:tmpl w:val="F482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204438">
    <w:abstractNumId w:val="35"/>
  </w:num>
  <w:num w:numId="2" w16cid:durableId="1038236080">
    <w:abstractNumId w:val="1"/>
  </w:num>
  <w:num w:numId="3" w16cid:durableId="1543706131">
    <w:abstractNumId w:val="30"/>
  </w:num>
  <w:num w:numId="4" w16cid:durableId="1231505119">
    <w:abstractNumId w:val="33"/>
  </w:num>
  <w:num w:numId="5" w16cid:durableId="524634231">
    <w:abstractNumId w:val="31"/>
  </w:num>
  <w:num w:numId="6" w16cid:durableId="1785035764">
    <w:abstractNumId w:val="37"/>
  </w:num>
  <w:num w:numId="7" w16cid:durableId="1114208220">
    <w:abstractNumId w:val="23"/>
  </w:num>
  <w:num w:numId="8" w16cid:durableId="766849883">
    <w:abstractNumId w:val="32"/>
  </w:num>
  <w:num w:numId="9" w16cid:durableId="1244608368">
    <w:abstractNumId w:val="25"/>
  </w:num>
  <w:num w:numId="10" w16cid:durableId="276182269">
    <w:abstractNumId w:val="26"/>
  </w:num>
  <w:num w:numId="11" w16cid:durableId="698776092">
    <w:abstractNumId w:val="7"/>
  </w:num>
  <w:num w:numId="12" w16cid:durableId="792556186">
    <w:abstractNumId w:val="28"/>
  </w:num>
  <w:num w:numId="13" w16cid:durableId="1009986370">
    <w:abstractNumId w:val="19"/>
  </w:num>
  <w:num w:numId="14" w16cid:durableId="528682587">
    <w:abstractNumId w:val="41"/>
  </w:num>
  <w:num w:numId="15" w16cid:durableId="1986230828">
    <w:abstractNumId w:val="22"/>
  </w:num>
  <w:num w:numId="16" w16cid:durableId="956566259">
    <w:abstractNumId w:val="17"/>
  </w:num>
  <w:num w:numId="17" w16cid:durableId="758982671">
    <w:abstractNumId w:val="2"/>
  </w:num>
  <w:num w:numId="18" w16cid:durableId="594633818">
    <w:abstractNumId w:val="5"/>
  </w:num>
  <w:num w:numId="19" w16cid:durableId="1366753567">
    <w:abstractNumId w:val="18"/>
  </w:num>
  <w:num w:numId="20" w16cid:durableId="1512186588">
    <w:abstractNumId w:val="6"/>
  </w:num>
  <w:num w:numId="21" w16cid:durableId="2032026001">
    <w:abstractNumId w:val="3"/>
  </w:num>
  <w:num w:numId="22" w16cid:durableId="179123271">
    <w:abstractNumId w:val="21"/>
  </w:num>
  <w:num w:numId="23" w16cid:durableId="197546337">
    <w:abstractNumId w:val="15"/>
  </w:num>
  <w:num w:numId="24" w16cid:durableId="805439817">
    <w:abstractNumId w:val="27"/>
  </w:num>
  <w:num w:numId="25" w16cid:durableId="1844271614">
    <w:abstractNumId w:val="11"/>
  </w:num>
  <w:num w:numId="26" w16cid:durableId="453255367">
    <w:abstractNumId w:val="0"/>
  </w:num>
  <w:num w:numId="27" w16cid:durableId="36514233">
    <w:abstractNumId w:val="20"/>
  </w:num>
  <w:num w:numId="28" w16cid:durableId="566233287">
    <w:abstractNumId w:val="24"/>
  </w:num>
  <w:num w:numId="29" w16cid:durableId="878469109">
    <w:abstractNumId w:val="36"/>
  </w:num>
  <w:num w:numId="30" w16cid:durableId="1255093218">
    <w:abstractNumId w:val="39"/>
  </w:num>
  <w:num w:numId="31" w16cid:durableId="1620985662">
    <w:abstractNumId w:val="8"/>
  </w:num>
  <w:num w:numId="32" w16cid:durableId="521017142">
    <w:abstractNumId w:val="34"/>
  </w:num>
  <w:num w:numId="33" w16cid:durableId="427387655">
    <w:abstractNumId w:val="13"/>
  </w:num>
  <w:num w:numId="34" w16cid:durableId="2028674847">
    <w:abstractNumId w:val="12"/>
  </w:num>
  <w:num w:numId="35" w16cid:durableId="1225287943">
    <w:abstractNumId w:val="10"/>
  </w:num>
  <w:num w:numId="36" w16cid:durableId="1744796595">
    <w:abstractNumId w:val="38"/>
  </w:num>
  <w:num w:numId="37" w16cid:durableId="367803153">
    <w:abstractNumId w:val="29"/>
  </w:num>
  <w:num w:numId="38" w16cid:durableId="1491482514">
    <w:abstractNumId w:val="14"/>
  </w:num>
  <w:num w:numId="39" w16cid:durableId="1717851061">
    <w:abstractNumId w:val="9"/>
  </w:num>
  <w:num w:numId="40" w16cid:durableId="1320234937">
    <w:abstractNumId w:val="16"/>
  </w:num>
  <w:num w:numId="41" w16cid:durableId="2130737637">
    <w:abstractNumId w:val="4"/>
  </w:num>
  <w:num w:numId="42" w16cid:durableId="11204945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EA5"/>
    <w:rsid w:val="00014BF9"/>
    <w:rsid w:val="0001664F"/>
    <w:rsid w:val="000203D7"/>
    <w:rsid w:val="000250C7"/>
    <w:rsid w:val="00067139"/>
    <w:rsid w:val="000858E6"/>
    <w:rsid w:val="000A235D"/>
    <w:rsid w:val="000A3670"/>
    <w:rsid w:val="000A61D7"/>
    <w:rsid w:val="000B3E25"/>
    <w:rsid w:val="000F0962"/>
    <w:rsid w:val="000F0C0D"/>
    <w:rsid w:val="00107FB2"/>
    <w:rsid w:val="001138D5"/>
    <w:rsid w:val="00122495"/>
    <w:rsid w:val="00126461"/>
    <w:rsid w:val="00130FB0"/>
    <w:rsid w:val="00153C88"/>
    <w:rsid w:val="00153C9B"/>
    <w:rsid w:val="00155F60"/>
    <w:rsid w:val="00163881"/>
    <w:rsid w:val="00194C41"/>
    <w:rsid w:val="001A45AA"/>
    <w:rsid w:val="001A6DD3"/>
    <w:rsid w:val="001B5C65"/>
    <w:rsid w:val="001B6A18"/>
    <w:rsid w:val="001C47D8"/>
    <w:rsid w:val="0026154D"/>
    <w:rsid w:val="00266FBF"/>
    <w:rsid w:val="00282801"/>
    <w:rsid w:val="00286B1A"/>
    <w:rsid w:val="002B0034"/>
    <w:rsid w:val="002C69F5"/>
    <w:rsid w:val="002C7677"/>
    <w:rsid w:val="002C7A78"/>
    <w:rsid w:val="002D3BC4"/>
    <w:rsid w:val="002E30BB"/>
    <w:rsid w:val="002E3F23"/>
    <w:rsid w:val="002F3105"/>
    <w:rsid w:val="002F3C3D"/>
    <w:rsid w:val="00306E5E"/>
    <w:rsid w:val="00311EEA"/>
    <w:rsid w:val="003146AC"/>
    <w:rsid w:val="0033212D"/>
    <w:rsid w:val="00356DB2"/>
    <w:rsid w:val="00364D28"/>
    <w:rsid w:val="0038294B"/>
    <w:rsid w:val="00393CC8"/>
    <w:rsid w:val="003A3E5D"/>
    <w:rsid w:val="003E4005"/>
    <w:rsid w:val="003F03CE"/>
    <w:rsid w:val="0042664A"/>
    <w:rsid w:val="004364E8"/>
    <w:rsid w:val="00437BE3"/>
    <w:rsid w:val="00440C50"/>
    <w:rsid w:val="004630D8"/>
    <w:rsid w:val="00483C5C"/>
    <w:rsid w:val="004A4256"/>
    <w:rsid w:val="004A50BE"/>
    <w:rsid w:val="004B7295"/>
    <w:rsid w:val="004C06C2"/>
    <w:rsid w:val="004D5C91"/>
    <w:rsid w:val="004E13A6"/>
    <w:rsid w:val="004E18AF"/>
    <w:rsid w:val="004E55C6"/>
    <w:rsid w:val="00503FC0"/>
    <w:rsid w:val="00523263"/>
    <w:rsid w:val="00544DA0"/>
    <w:rsid w:val="00544F8A"/>
    <w:rsid w:val="0055244C"/>
    <w:rsid w:val="005553B6"/>
    <w:rsid w:val="0055558C"/>
    <w:rsid w:val="0057150C"/>
    <w:rsid w:val="00582D02"/>
    <w:rsid w:val="005860D9"/>
    <w:rsid w:val="0059685A"/>
    <w:rsid w:val="005B1168"/>
    <w:rsid w:val="005E5133"/>
    <w:rsid w:val="00604D9F"/>
    <w:rsid w:val="00606A59"/>
    <w:rsid w:val="00613A1A"/>
    <w:rsid w:val="00631608"/>
    <w:rsid w:val="00663646"/>
    <w:rsid w:val="0067310A"/>
    <w:rsid w:val="0068098E"/>
    <w:rsid w:val="00684DEF"/>
    <w:rsid w:val="00695308"/>
    <w:rsid w:val="0069724B"/>
    <w:rsid w:val="006A40CA"/>
    <w:rsid w:val="006B51C2"/>
    <w:rsid w:val="006B6718"/>
    <w:rsid w:val="006C528A"/>
    <w:rsid w:val="006D3219"/>
    <w:rsid w:val="006E29BE"/>
    <w:rsid w:val="006E2F10"/>
    <w:rsid w:val="006E611C"/>
    <w:rsid w:val="006E7322"/>
    <w:rsid w:val="007058D8"/>
    <w:rsid w:val="0072130A"/>
    <w:rsid w:val="00737D88"/>
    <w:rsid w:val="00752516"/>
    <w:rsid w:val="0076015E"/>
    <w:rsid w:val="00770BEC"/>
    <w:rsid w:val="00771FB1"/>
    <w:rsid w:val="0078484A"/>
    <w:rsid w:val="007C69B3"/>
    <w:rsid w:val="007D3C12"/>
    <w:rsid w:val="007E5F34"/>
    <w:rsid w:val="007F0467"/>
    <w:rsid w:val="007F6FA3"/>
    <w:rsid w:val="00816EA5"/>
    <w:rsid w:val="00820C16"/>
    <w:rsid w:val="008228FC"/>
    <w:rsid w:val="00844B87"/>
    <w:rsid w:val="0084532D"/>
    <w:rsid w:val="00851309"/>
    <w:rsid w:val="00854C4C"/>
    <w:rsid w:val="008600D4"/>
    <w:rsid w:val="00867E0A"/>
    <w:rsid w:val="00872A54"/>
    <w:rsid w:val="00874CB0"/>
    <w:rsid w:val="00880B3C"/>
    <w:rsid w:val="008834FC"/>
    <w:rsid w:val="00884224"/>
    <w:rsid w:val="00890D41"/>
    <w:rsid w:val="00893AE2"/>
    <w:rsid w:val="00896785"/>
    <w:rsid w:val="008A17E8"/>
    <w:rsid w:val="008B5D1E"/>
    <w:rsid w:val="008B66A3"/>
    <w:rsid w:val="008C5512"/>
    <w:rsid w:val="008D54AF"/>
    <w:rsid w:val="008D747E"/>
    <w:rsid w:val="008E3057"/>
    <w:rsid w:val="008E394B"/>
    <w:rsid w:val="008F63BF"/>
    <w:rsid w:val="009015C3"/>
    <w:rsid w:val="00914265"/>
    <w:rsid w:val="009168AE"/>
    <w:rsid w:val="00921D2B"/>
    <w:rsid w:val="00922DE6"/>
    <w:rsid w:val="009367AF"/>
    <w:rsid w:val="0095058F"/>
    <w:rsid w:val="00951505"/>
    <w:rsid w:val="00971EBF"/>
    <w:rsid w:val="009721A7"/>
    <w:rsid w:val="00974E9E"/>
    <w:rsid w:val="0098614D"/>
    <w:rsid w:val="009C1080"/>
    <w:rsid w:val="009C7ADE"/>
    <w:rsid w:val="009D1A2E"/>
    <w:rsid w:val="009D2EE9"/>
    <w:rsid w:val="009D473A"/>
    <w:rsid w:val="009E073F"/>
    <w:rsid w:val="00A04169"/>
    <w:rsid w:val="00A06545"/>
    <w:rsid w:val="00A146C1"/>
    <w:rsid w:val="00A36011"/>
    <w:rsid w:val="00A3771E"/>
    <w:rsid w:val="00A440DA"/>
    <w:rsid w:val="00A465D5"/>
    <w:rsid w:val="00A52B68"/>
    <w:rsid w:val="00A55D8E"/>
    <w:rsid w:val="00A733C7"/>
    <w:rsid w:val="00A85D0D"/>
    <w:rsid w:val="00A909FA"/>
    <w:rsid w:val="00A92A99"/>
    <w:rsid w:val="00AA0E2C"/>
    <w:rsid w:val="00AA4EC2"/>
    <w:rsid w:val="00AB0D08"/>
    <w:rsid w:val="00B0059F"/>
    <w:rsid w:val="00B06A72"/>
    <w:rsid w:val="00B21F97"/>
    <w:rsid w:val="00B543C9"/>
    <w:rsid w:val="00B6203A"/>
    <w:rsid w:val="00B6560A"/>
    <w:rsid w:val="00B73483"/>
    <w:rsid w:val="00BA0CE3"/>
    <w:rsid w:val="00BE4139"/>
    <w:rsid w:val="00C0792A"/>
    <w:rsid w:val="00C568EB"/>
    <w:rsid w:val="00C607AC"/>
    <w:rsid w:val="00C665ED"/>
    <w:rsid w:val="00C66ECD"/>
    <w:rsid w:val="00C81839"/>
    <w:rsid w:val="00CA41AC"/>
    <w:rsid w:val="00CA42EF"/>
    <w:rsid w:val="00CB2149"/>
    <w:rsid w:val="00CC37A3"/>
    <w:rsid w:val="00CD1B49"/>
    <w:rsid w:val="00CE402F"/>
    <w:rsid w:val="00CF4860"/>
    <w:rsid w:val="00D014B5"/>
    <w:rsid w:val="00D27905"/>
    <w:rsid w:val="00D35F6D"/>
    <w:rsid w:val="00D411DA"/>
    <w:rsid w:val="00D61E03"/>
    <w:rsid w:val="00D70DFB"/>
    <w:rsid w:val="00D75AE3"/>
    <w:rsid w:val="00D9297D"/>
    <w:rsid w:val="00DC506A"/>
    <w:rsid w:val="00DC7477"/>
    <w:rsid w:val="00DD4A6F"/>
    <w:rsid w:val="00DE2C04"/>
    <w:rsid w:val="00DE726A"/>
    <w:rsid w:val="00DE7844"/>
    <w:rsid w:val="00DF0A55"/>
    <w:rsid w:val="00E242E8"/>
    <w:rsid w:val="00E26CF2"/>
    <w:rsid w:val="00E424AB"/>
    <w:rsid w:val="00E64CD6"/>
    <w:rsid w:val="00E83840"/>
    <w:rsid w:val="00E87558"/>
    <w:rsid w:val="00E915B2"/>
    <w:rsid w:val="00EA2786"/>
    <w:rsid w:val="00EA40B0"/>
    <w:rsid w:val="00EB6BDC"/>
    <w:rsid w:val="00EC7C95"/>
    <w:rsid w:val="00EE0212"/>
    <w:rsid w:val="00EE1D61"/>
    <w:rsid w:val="00EE4D55"/>
    <w:rsid w:val="00F13A1F"/>
    <w:rsid w:val="00F213CA"/>
    <w:rsid w:val="00F56C55"/>
    <w:rsid w:val="00F653C3"/>
    <w:rsid w:val="00F718E1"/>
    <w:rsid w:val="00F941E5"/>
    <w:rsid w:val="00F9597E"/>
    <w:rsid w:val="00FB1751"/>
    <w:rsid w:val="00FB5EE7"/>
    <w:rsid w:val="00FC0D65"/>
    <w:rsid w:val="00FE5100"/>
    <w:rsid w:val="00FF62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8480A"/>
  <w15:docId w15:val="{71D0D575-D396-479B-A894-CE9B5706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A5"/>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EA5"/>
    <w:rPr>
      <w:color w:val="0563C1" w:themeColor="hyperlink"/>
      <w:u w:val="single"/>
    </w:rPr>
  </w:style>
  <w:style w:type="paragraph" w:customStyle="1" w:styleId="ResumeAlignRight">
    <w:name w:val="Resume Align Right"/>
    <w:basedOn w:val="Normal"/>
    <w:rsid w:val="006E7322"/>
    <w:pPr>
      <w:tabs>
        <w:tab w:val="right" w:pos="10080"/>
      </w:tabs>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8E3057"/>
    <w:pPr>
      <w:ind w:left="720"/>
      <w:contextualSpacing/>
    </w:pPr>
  </w:style>
  <w:style w:type="paragraph" w:styleId="Header">
    <w:name w:val="header"/>
    <w:basedOn w:val="Normal"/>
    <w:link w:val="HeaderChar"/>
    <w:uiPriority w:val="99"/>
    <w:unhideWhenUsed/>
    <w:rsid w:val="00A06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545"/>
    <w:rPr>
      <w:rFonts w:eastAsiaTheme="minorHAnsi"/>
      <w:lang w:val="en-US" w:eastAsia="en-US"/>
    </w:rPr>
  </w:style>
  <w:style w:type="paragraph" w:styleId="Footer">
    <w:name w:val="footer"/>
    <w:basedOn w:val="Normal"/>
    <w:link w:val="FooterChar"/>
    <w:uiPriority w:val="99"/>
    <w:unhideWhenUsed/>
    <w:rsid w:val="00A0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545"/>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07714">
      <w:bodyDiv w:val="1"/>
      <w:marLeft w:val="0"/>
      <w:marRight w:val="0"/>
      <w:marTop w:val="0"/>
      <w:marBottom w:val="0"/>
      <w:divBdr>
        <w:top w:val="none" w:sz="0" w:space="0" w:color="auto"/>
        <w:left w:val="none" w:sz="0" w:space="0" w:color="auto"/>
        <w:bottom w:val="none" w:sz="0" w:space="0" w:color="auto"/>
        <w:right w:val="none" w:sz="0" w:space="0" w:color="auto"/>
      </w:divBdr>
      <w:divsChild>
        <w:div w:id="920061282">
          <w:marLeft w:val="0"/>
          <w:marRight w:val="0"/>
          <w:marTop w:val="0"/>
          <w:marBottom w:val="0"/>
          <w:divBdr>
            <w:top w:val="none" w:sz="0" w:space="0" w:color="auto"/>
            <w:left w:val="none" w:sz="0" w:space="0" w:color="auto"/>
            <w:bottom w:val="none" w:sz="0" w:space="0" w:color="auto"/>
            <w:right w:val="none" w:sz="0" w:space="0" w:color="auto"/>
          </w:divBdr>
        </w:div>
      </w:divsChild>
    </w:div>
    <w:div w:id="390663987">
      <w:bodyDiv w:val="1"/>
      <w:marLeft w:val="0"/>
      <w:marRight w:val="0"/>
      <w:marTop w:val="0"/>
      <w:marBottom w:val="0"/>
      <w:divBdr>
        <w:top w:val="none" w:sz="0" w:space="0" w:color="auto"/>
        <w:left w:val="none" w:sz="0" w:space="0" w:color="auto"/>
        <w:bottom w:val="none" w:sz="0" w:space="0" w:color="auto"/>
        <w:right w:val="none" w:sz="0" w:space="0" w:color="auto"/>
      </w:divBdr>
    </w:div>
    <w:div w:id="459957061">
      <w:bodyDiv w:val="1"/>
      <w:marLeft w:val="0"/>
      <w:marRight w:val="0"/>
      <w:marTop w:val="0"/>
      <w:marBottom w:val="0"/>
      <w:divBdr>
        <w:top w:val="none" w:sz="0" w:space="0" w:color="auto"/>
        <w:left w:val="none" w:sz="0" w:space="0" w:color="auto"/>
        <w:bottom w:val="none" w:sz="0" w:space="0" w:color="auto"/>
        <w:right w:val="none" w:sz="0" w:space="0" w:color="auto"/>
      </w:divBdr>
    </w:div>
    <w:div w:id="469440858">
      <w:bodyDiv w:val="1"/>
      <w:marLeft w:val="0"/>
      <w:marRight w:val="0"/>
      <w:marTop w:val="0"/>
      <w:marBottom w:val="0"/>
      <w:divBdr>
        <w:top w:val="none" w:sz="0" w:space="0" w:color="auto"/>
        <w:left w:val="none" w:sz="0" w:space="0" w:color="auto"/>
        <w:bottom w:val="none" w:sz="0" w:space="0" w:color="auto"/>
        <w:right w:val="none" w:sz="0" w:space="0" w:color="auto"/>
      </w:divBdr>
      <w:divsChild>
        <w:div w:id="103498057">
          <w:marLeft w:val="0"/>
          <w:marRight w:val="0"/>
          <w:marTop w:val="0"/>
          <w:marBottom w:val="0"/>
          <w:divBdr>
            <w:top w:val="none" w:sz="0" w:space="0" w:color="auto"/>
            <w:left w:val="none" w:sz="0" w:space="0" w:color="auto"/>
            <w:bottom w:val="none" w:sz="0" w:space="0" w:color="auto"/>
            <w:right w:val="none" w:sz="0" w:space="0" w:color="auto"/>
          </w:divBdr>
        </w:div>
      </w:divsChild>
    </w:div>
    <w:div w:id="486751214">
      <w:bodyDiv w:val="1"/>
      <w:marLeft w:val="0"/>
      <w:marRight w:val="0"/>
      <w:marTop w:val="0"/>
      <w:marBottom w:val="0"/>
      <w:divBdr>
        <w:top w:val="none" w:sz="0" w:space="0" w:color="auto"/>
        <w:left w:val="none" w:sz="0" w:space="0" w:color="auto"/>
        <w:bottom w:val="none" w:sz="0" w:space="0" w:color="auto"/>
        <w:right w:val="none" w:sz="0" w:space="0" w:color="auto"/>
      </w:divBdr>
    </w:div>
    <w:div w:id="549609093">
      <w:bodyDiv w:val="1"/>
      <w:marLeft w:val="0"/>
      <w:marRight w:val="0"/>
      <w:marTop w:val="0"/>
      <w:marBottom w:val="0"/>
      <w:divBdr>
        <w:top w:val="none" w:sz="0" w:space="0" w:color="auto"/>
        <w:left w:val="none" w:sz="0" w:space="0" w:color="auto"/>
        <w:bottom w:val="none" w:sz="0" w:space="0" w:color="auto"/>
        <w:right w:val="none" w:sz="0" w:space="0" w:color="auto"/>
      </w:divBdr>
    </w:div>
    <w:div w:id="563027271">
      <w:bodyDiv w:val="1"/>
      <w:marLeft w:val="0"/>
      <w:marRight w:val="0"/>
      <w:marTop w:val="0"/>
      <w:marBottom w:val="0"/>
      <w:divBdr>
        <w:top w:val="none" w:sz="0" w:space="0" w:color="auto"/>
        <w:left w:val="none" w:sz="0" w:space="0" w:color="auto"/>
        <w:bottom w:val="none" w:sz="0" w:space="0" w:color="auto"/>
        <w:right w:val="none" w:sz="0" w:space="0" w:color="auto"/>
      </w:divBdr>
    </w:div>
    <w:div w:id="648747107">
      <w:bodyDiv w:val="1"/>
      <w:marLeft w:val="0"/>
      <w:marRight w:val="0"/>
      <w:marTop w:val="0"/>
      <w:marBottom w:val="0"/>
      <w:divBdr>
        <w:top w:val="none" w:sz="0" w:space="0" w:color="auto"/>
        <w:left w:val="none" w:sz="0" w:space="0" w:color="auto"/>
        <w:bottom w:val="none" w:sz="0" w:space="0" w:color="auto"/>
        <w:right w:val="none" w:sz="0" w:space="0" w:color="auto"/>
      </w:divBdr>
    </w:div>
    <w:div w:id="667710980">
      <w:bodyDiv w:val="1"/>
      <w:marLeft w:val="0"/>
      <w:marRight w:val="0"/>
      <w:marTop w:val="0"/>
      <w:marBottom w:val="0"/>
      <w:divBdr>
        <w:top w:val="none" w:sz="0" w:space="0" w:color="auto"/>
        <w:left w:val="none" w:sz="0" w:space="0" w:color="auto"/>
        <w:bottom w:val="none" w:sz="0" w:space="0" w:color="auto"/>
        <w:right w:val="none" w:sz="0" w:space="0" w:color="auto"/>
      </w:divBdr>
    </w:div>
    <w:div w:id="824323686">
      <w:bodyDiv w:val="1"/>
      <w:marLeft w:val="0"/>
      <w:marRight w:val="0"/>
      <w:marTop w:val="0"/>
      <w:marBottom w:val="0"/>
      <w:divBdr>
        <w:top w:val="none" w:sz="0" w:space="0" w:color="auto"/>
        <w:left w:val="none" w:sz="0" w:space="0" w:color="auto"/>
        <w:bottom w:val="none" w:sz="0" w:space="0" w:color="auto"/>
        <w:right w:val="none" w:sz="0" w:space="0" w:color="auto"/>
      </w:divBdr>
    </w:div>
    <w:div w:id="1084915229">
      <w:bodyDiv w:val="1"/>
      <w:marLeft w:val="0"/>
      <w:marRight w:val="0"/>
      <w:marTop w:val="0"/>
      <w:marBottom w:val="0"/>
      <w:divBdr>
        <w:top w:val="none" w:sz="0" w:space="0" w:color="auto"/>
        <w:left w:val="none" w:sz="0" w:space="0" w:color="auto"/>
        <w:bottom w:val="none" w:sz="0" w:space="0" w:color="auto"/>
        <w:right w:val="none" w:sz="0" w:space="0" w:color="auto"/>
      </w:divBdr>
    </w:div>
    <w:div w:id="1254166239">
      <w:bodyDiv w:val="1"/>
      <w:marLeft w:val="0"/>
      <w:marRight w:val="0"/>
      <w:marTop w:val="0"/>
      <w:marBottom w:val="0"/>
      <w:divBdr>
        <w:top w:val="none" w:sz="0" w:space="0" w:color="auto"/>
        <w:left w:val="none" w:sz="0" w:space="0" w:color="auto"/>
        <w:bottom w:val="none" w:sz="0" w:space="0" w:color="auto"/>
        <w:right w:val="none" w:sz="0" w:space="0" w:color="auto"/>
      </w:divBdr>
    </w:div>
    <w:div w:id="1255438081">
      <w:bodyDiv w:val="1"/>
      <w:marLeft w:val="0"/>
      <w:marRight w:val="0"/>
      <w:marTop w:val="0"/>
      <w:marBottom w:val="0"/>
      <w:divBdr>
        <w:top w:val="none" w:sz="0" w:space="0" w:color="auto"/>
        <w:left w:val="none" w:sz="0" w:space="0" w:color="auto"/>
        <w:bottom w:val="none" w:sz="0" w:space="0" w:color="auto"/>
        <w:right w:val="none" w:sz="0" w:space="0" w:color="auto"/>
      </w:divBdr>
    </w:div>
    <w:div w:id="1426413808">
      <w:bodyDiv w:val="1"/>
      <w:marLeft w:val="0"/>
      <w:marRight w:val="0"/>
      <w:marTop w:val="0"/>
      <w:marBottom w:val="0"/>
      <w:divBdr>
        <w:top w:val="none" w:sz="0" w:space="0" w:color="auto"/>
        <w:left w:val="none" w:sz="0" w:space="0" w:color="auto"/>
        <w:bottom w:val="none" w:sz="0" w:space="0" w:color="auto"/>
        <w:right w:val="none" w:sz="0" w:space="0" w:color="auto"/>
      </w:divBdr>
    </w:div>
    <w:div w:id="1617712280">
      <w:bodyDiv w:val="1"/>
      <w:marLeft w:val="0"/>
      <w:marRight w:val="0"/>
      <w:marTop w:val="0"/>
      <w:marBottom w:val="0"/>
      <w:divBdr>
        <w:top w:val="none" w:sz="0" w:space="0" w:color="auto"/>
        <w:left w:val="none" w:sz="0" w:space="0" w:color="auto"/>
        <w:bottom w:val="none" w:sz="0" w:space="0" w:color="auto"/>
        <w:right w:val="none" w:sz="0" w:space="0" w:color="auto"/>
      </w:divBdr>
    </w:div>
    <w:div w:id="1766027081">
      <w:bodyDiv w:val="1"/>
      <w:marLeft w:val="0"/>
      <w:marRight w:val="0"/>
      <w:marTop w:val="0"/>
      <w:marBottom w:val="0"/>
      <w:divBdr>
        <w:top w:val="none" w:sz="0" w:space="0" w:color="auto"/>
        <w:left w:val="none" w:sz="0" w:space="0" w:color="auto"/>
        <w:bottom w:val="none" w:sz="0" w:space="0" w:color="auto"/>
        <w:right w:val="none" w:sz="0" w:space="0" w:color="auto"/>
      </w:divBdr>
    </w:div>
    <w:div w:id="1930043256">
      <w:bodyDiv w:val="1"/>
      <w:marLeft w:val="0"/>
      <w:marRight w:val="0"/>
      <w:marTop w:val="0"/>
      <w:marBottom w:val="0"/>
      <w:divBdr>
        <w:top w:val="none" w:sz="0" w:space="0" w:color="auto"/>
        <w:left w:val="none" w:sz="0" w:space="0" w:color="auto"/>
        <w:bottom w:val="none" w:sz="0" w:space="0" w:color="auto"/>
        <w:right w:val="none" w:sz="0" w:space="0" w:color="auto"/>
      </w:divBdr>
    </w:div>
    <w:div w:id="1984196988">
      <w:bodyDiv w:val="1"/>
      <w:marLeft w:val="0"/>
      <w:marRight w:val="0"/>
      <w:marTop w:val="0"/>
      <w:marBottom w:val="0"/>
      <w:divBdr>
        <w:top w:val="none" w:sz="0" w:space="0" w:color="auto"/>
        <w:left w:val="none" w:sz="0" w:space="0" w:color="auto"/>
        <w:bottom w:val="none" w:sz="0" w:space="0" w:color="auto"/>
        <w:right w:val="none" w:sz="0" w:space="0" w:color="auto"/>
      </w:divBdr>
    </w:div>
    <w:div w:id="2000382780">
      <w:bodyDiv w:val="1"/>
      <w:marLeft w:val="0"/>
      <w:marRight w:val="0"/>
      <w:marTop w:val="0"/>
      <w:marBottom w:val="0"/>
      <w:divBdr>
        <w:top w:val="none" w:sz="0" w:space="0" w:color="auto"/>
        <w:left w:val="none" w:sz="0" w:space="0" w:color="auto"/>
        <w:bottom w:val="none" w:sz="0" w:space="0" w:color="auto"/>
        <w:right w:val="none" w:sz="0" w:space="0" w:color="auto"/>
      </w:divBdr>
    </w:div>
    <w:div w:id="206229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cxi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33377-2743-4A55-A8D2-AF922F080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977</Words>
  <Characters>5785</Characters>
  <Application>Microsoft Office Word</Application>
  <DocSecurity>0</DocSecurity>
  <Lines>115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Chun Xian Ng</cp:lastModifiedBy>
  <cp:revision>4</cp:revision>
  <cp:lastPrinted>2021-12-26T12:08:00Z</cp:lastPrinted>
  <dcterms:created xsi:type="dcterms:W3CDTF">2025-06-16T02:57:00Z</dcterms:created>
  <dcterms:modified xsi:type="dcterms:W3CDTF">2025-06-16T03:55:00Z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4bc6579d33d7dff76f041893a8ed267f0b03894da2ea4eadc82535c3b4edcb2b</vt:lpwstr>
  </property>
</Properties>
</file>