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Code Sense 评测集数据定制生产需求文档1012</w:t>
      </w:r>
    </w:p>
    <w:tbl>
      <w:tblPr>
        <w:tblStyle w:val="tableHeader"/>
        <w:tblW w:w="0" w:type="pct"/>
        <w:tblLook w:firstRow="1" w:lastRow="0" w:firstColumn="0" w:lastColumn="0" w:noHBand="0" w:noVBand="0"/>
      </w:tblPr>
      <w:tblGrid>
        <w:gridCol w:w="3521"/>
        <w:gridCol w:w="11223"/>
      </w:tblGrid>
      <w:tr>
        <w:trPr>
          <w:trHeight w:val="0"/>
        </w:trPr>
        <w:tc>
          <w:tcPr>
            <w:tcW w:w="3521" w:type="dxa"/>
          </w:tcPr>
          <w:p>
            <w:pPr/>
            <w:r>
              <w:rPr>
                <w:b w:val="1"/>
              </w:rPr>
              <w:t xml:space="preserve">项目</w:t>
            </w:r>
          </w:p>
        </w:tc>
        <w:tc>
          <w:tcPr>
            <w:tcW w:w="11223" w:type="dxa"/>
          </w:tcPr>
          <w:p>
            <w:pPr/>
            <w:r>
              <w:rPr>
                <w:b w:val="1"/>
              </w:rPr>
              <w:t xml:space="preserve">内容</w:t>
            </w:r>
          </w:p>
        </w:tc>
      </w:tr>
      <w:tr>
        <w:trPr>
          <w:trHeight w:val="0"/>
        </w:trPr>
        <w:tc>
          <w:tcPr>
            <w:tcW w:w="3521" w:type="dxa"/>
          </w:tcPr>
          <w:p>
            <w:pPr/>
            <w:r>
              <w:t xml:space="preserve">需求名称</w:t>
            </w:r>
          </w:p>
        </w:tc>
        <w:tc>
          <w:tcPr>
            <w:tcW w:w="11223" w:type="dxa"/>
          </w:tcPr>
          <w:p>
            <w:pPr/>
            <w:r>
              <w:t xml:space="preserve">Code Sense（badpattern 命题生产）专项评测数据定制生产</w:t>
            </w:r>
          </w:p>
        </w:tc>
      </w:tr>
      <w:tr>
        <w:trPr>
          <w:trHeight w:val="0"/>
        </w:trPr>
        <w:tc>
          <w:tcPr>
            <w:tcW w:w="3521" w:type="dxa"/>
          </w:tcPr>
          <w:p>
            <w:pPr/>
            <w:r>
              <w:t xml:space="preserve">定制形态</w:t>
            </w:r>
          </w:p>
        </w:tc>
        <w:tc>
          <w:tcPr>
            <w:tcW w:w="11223" w:type="dxa"/>
          </w:tcPr>
          <w:p>
            <w:pPr/>
            <w:r>
              <w:t xml:space="preserve">按数据定制生产需求方的 badpattern 配额与 Harbor 五件套 Schema 定向构造（badpattern 为唯一分组维度，不区分难度与语言）</w:t>
            </w:r>
          </w:p>
        </w:tc>
      </w:tr>
      <w:tr>
        <w:trPr>
          <w:trHeight w:val="0"/>
        </w:trPr>
        <w:tc>
          <w:tcPr>
            <w:tcW w:w="3521" w:type="dxa"/>
          </w:tcPr>
          <w:p>
            <w:pPr/>
            <w:r>
              <w:t xml:space="preserve">数据用途</w:t>
            </w:r>
          </w:p>
        </w:tc>
        <w:tc>
          <w:tcPr>
            <w:tcW w:w="11223" w:type="dxa"/>
          </w:tcPr>
          <w:p>
            <w:pPr/>
            <w:r>
              <w:t xml:space="preserve">Agentic Coding 模型的代码语义推理能力评测、模型横向比较与回归、能力缺陷分析、反幻觉与纠错能力诊断</w:t>
            </w:r>
          </w:p>
        </w:tc>
      </w:tr>
      <w:tr>
        <w:trPr>
          <w:trHeight w:val="0"/>
        </w:trPr>
        <w:tc>
          <w:tcPr>
            <w:tcW w:w="3521" w:type="dxa"/>
          </w:tcPr>
          <w:p>
            <w:pPr/>
            <w:r>
              <w:t xml:space="preserve">供应商交付规模</w:t>
            </w:r>
          </w:p>
        </w:tc>
        <w:tc>
          <w:tcPr>
            <w:tcW w:w="11223" w:type="dxa"/>
          </w:tcPr>
          <w:p>
            <w:pPr/>
            <w:r>
              <w:rPr>
                <w:b w:val="1"/>
              </w:rPr>
              <w:t xml:space="preserve">30 道候选题</w:t>
            </w:r>
            <w:r>
              <w:t xml:space="preserve">，不设固定封顶数量；若高质量、高区分度入选题不足或 badpattern 配额仍有缺口，供应商须继续补充；</w:t>
            </w:r>
          </w:p>
          <w:p>
            <w:pPr/>
            <w:r>
              <w:t xml:space="preserve">后续可能会持续提供不同的 badpattern 继续收题。</w:t>
            </w:r>
          </w:p>
        </w:tc>
      </w:tr>
      <w:tr>
        <w:trPr>
          <w:trHeight w:val="0"/>
        </w:trPr>
        <w:tc>
          <w:tcPr>
            <w:tcW w:w="3521" w:type="dxa"/>
          </w:tcPr>
          <w:p>
            <w:pPr/>
            <w:r>
              <w:t xml:space="preserve">交付格式</w:t>
            </w:r>
          </w:p>
        </w:tc>
        <w:tc>
          <w:tcPr>
            <w:tcW w:w="11223" w:type="dxa"/>
          </w:tcPr>
          <w:p>
            <w:pPr/>
            <w:r>
              <w:t xml:space="preserve">单题标准 Harbor 1.4 五件套题包（instruction.md 模型可见 + tests/ 模型不可见）+ 标杆校准四件套 + 包外证据包 + 批次清单</w:t>
            </w:r>
          </w:p>
        </w:tc>
      </w:tr>
      <w:tr>
        <w:trPr>
          <w:trHeight w:val="0"/>
        </w:trPr>
        <w:tc>
          <w:tcPr>
            <w:tcW w:w="3521" w:type="dxa"/>
          </w:tcPr>
          <w:p>
            <w:pPr/>
            <w:r>
              <w:t xml:space="preserve">判分原则</w:t>
            </w:r>
          </w:p>
        </w:tc>
        <w:tc>
          <w:tcPr>
            <w:tcW w:w="11223" w:type="dxa"/>
          </w:tcPr>
          <w:p>
            <w:pPr>
              <w:numPr>
                <w:ilvl w:val="0"/>
                <w:numId w:val="1"/>
              </w:numPr>
            </w:pPr>
            <w:r>
              <w:rPr>
                <w:b w:val="1"/>
              </w:rPr>
              <w:t xml:space="preserve">纯单元测试（UT）判分</w:t>
            </w:r>
            <w:r>
              <w:t xml:space="preserve">：judge_type 统一为 unit_test，全程</w:t>
            </w:r>
            <w:r>
              <w:rPr>
                <w:b w:val="1"/>
              </w:rPr>
              <w:t xml:space="preserve">不使用 LLM judge</w:t>
            </w:r>
            <w:r>
              <w:t xml:space="preserve">、</w:t>
            </w:r>
            <w:r>
              <w:rPr>
                <w:b w:val="1"/>
              </w:rPr>
              <w:t xml:space="preserve">不使用 rubric 权重/主观断言评分</w:t>
            </w:r>
            <w:r>
              <w:t xml:space="preserve">；</w:t>
            </w:r>
          </w:p>
          <w:p>
            <w:pPr/>
            <w:r>
              <w:t xml:space="preserve">        每题在 tests/ 下交付 </w:t>
            </w:r>
            <w:r>
              <w:rPr>
                <w:b w:val="1"/>
              </w:rPr>
              <w:t xml:space="preserve">&gt; 20 个（≥21）独立单元测试方法（test_*）</w:t>
            </w:r>
            <w:r>
              <w:t xml:space="preserve">，并且注意针对 badpattern 命题的产出，比如：tests逐一针对本题 badpattern「改一查十」的每处下游/相关改动点与语义陷阱。</w:t>
            </w:r>
          </w:p>
          <w:p>
            <w:pPr>
              <w:numPr>
                <w:ilvl w:val="0"/>
                <w:numId w:val="1"/>
              </w:numPr>
            </w:pPr>
            <w:r>
              <w:rPr>
                <w:color w:val="FE0300"/>
                <w:b w:val="1"/>
              </w:rPr>
              <w:t xml:space="preserve">passrate</w:t>
            </w:r>
            <w:r>
              <w:rPr>
                <w:color w:val="FE0300"/>
              </w:rPr>
              <w:t xml:space="preserve">判分，tests 全对为1否则为0；</w:t>
            </w:r>
          </w:p>
          <w:p>
            <w:pPr>
              <w:numPr>
                <w:ilvl w:val="0"/>
                <w:numId w:val="1"/>
              </w:numPr>
            </w:pPr>
            <w:r>
              <w:rPr>
                <w:color w:val="FE0300"/>
              </w:rPr>
              <w:t xml:space="preserve">qwen3.8max、kimi-k3、glm5.3、opus5.5、gpt6-astra</w:t>
            </w:r>
            <w:r>
              <w:rPr>
                <w:color w:val="FE0300"/>
                <w:b w:val="1"/>
              </w:rPr>
              <w:t xml:space="preserve">五个</w:t>
            </w:r>
            <w:r>
              <w:rPr>
                <w:color w:val="FE0300"/>
              </w:rPr>
              <w:t xml:space="preserve">模型上运行</w:t>
            </w:r>
            <w:r>
              <w:rPr>
                <w:color w:val="FE0300"/>
                <w:b w:val="1"/>
              </w:rPr>
              <w:t xml:space="preserve">4次</w:t>
            </w:r>
            <w:r>
              <w:rPr>
                <w:color w:val="FE0300"/>
              </w:rPr>
              <w:t xml:space="preserve">，结果</w:t>
            </w:r>
            <w:r>
              <w:rPr>
                <w:color w:val="FE0300"/>
                <w:b w:val="1"/>
              </w:rPr>
              <w:t xml:space="preserve">有区分度</w:t>
            </w:r>
          </w:p>
          <w:p>
            <w:pPr>
              <w:numPr>
                <w:ilvl w:val="1"/>
                <w:numId w:val="1"/>
              </w:numPr>
            </w:pPr>
            <w:r>
              <w:rPr>
                <w:sz w:val="20"/>
                <w:color w:val="FE0300"/>
              </w:rPr>
            </w:r>
            <w:r>
              <w:rPr>
                <w:sz w:val="20"/>
                <w:color w:val="FE0300"/>
                <w:shd w:val="clear" w:color="auto" w:fill="F0F1F1"/>
              </w:rPr>
              <w:t xml:space="preserve">不同失败 UT 集合数 / 非全过运行数</w:t>
            </w:r>
            <w:r>
              <w:rPr>
                <w:sz w:val="20"/>
                <w:color w:val="FE0300"/>
              </w:rPr>
              <w:t xml:space="preserve">，建议 ≥50%，且最大单一失败签名占比 ≤50%</w:t>
            </w:r>
          </w:p>
          <w:p>
            <w:pPr>
              <w:numPr>
                <w:ilvl w:val="1"/>
                <w:numId w:val="1"/>
              </w:numPr>
            </w:pPr>
            <w:r>
              <w:rPr>
                <w:sz w:val="20"/>
                <w:color w:val="FE0300"/>
              </w:rPr>
            </w:r>
            <w:r>
              <w:rPr>
                <w:sz w:val="20"/>
                <w:color w:val="FE0300"/>
                <w:shd w:val="clear" w:color="auto" w:fill="F0F1F1"/>
              </w:rPr>
              <w:t xml:space="preserve">跨模型失败集合平均 Jaccard 距离 ÷ 同模型4轮平均距离</w:t>
            </w:r>
            <w:r>
              <w:rPr>
                <w:sz w:val="20"/>
                <w:color w:val="FE0300"/>
              </w:rPr>
              <w:t xml:space="preserve">，建议 ≥1.25</w:t>
            </w:r>
          </w:p>
          <w:p>
            <w:pPr>
              <w:numPr>
                <w:ilvl w:val="0"/>
                <w:numId w:val="1"/>
              </w:numPr>
            </w:pPr>
            <w:r>
              <w:rPr>
                <w:color w:val="FE0300"/>
              </w:rPr>
              <w:t xml:space="preserve">5个模型4次结果pass_rate平均值</w:t>
            </w:r>
            <w:r>
              <w:rPr>
                <w:color w:val="FE0300"/>
                <w:b w:val="1"/>
              </w:rPr>
              <w:t xml:space="preserve">低于70%</w:t>
            </w:r>
            <w:r>
              <w:rPr>
                <w:color w:val="FE0300"/>
              </w:rPr>
              <w:t xml:space="preserve">（至少有2次非全1）；不可4次都全1或全0；opus 至少有一次全1。</w:t>
            </w:r>
          </w:p>
          <w:p>
            <w:pPr>
              <w:numPr>
                <w:ilvl w:val="0"/>
                <w:numId w:val="1"/>
              </w:numPr>
            </w:pPr>
            <w:r>
              <w:t xml:space="preserve">扣分点锚定在</w:t>
            </w:r>
            <w:r>
              <w:rPr>
                <w:b w:val="1"/>
              </w:rPr>
              <w:t xml:space="preserve">模型改动后的代码是否实际产生 badpattern</w:t>
            </w:r>
            <w:r>
              <w:t xml:space="preserve">，而非题面是否包含 badpattern 命题。</w:t>
            </w:r>
          </w:p>
        </w:tc>
      </w:tr>
      <w:tr>
        <w:trPr>
          <w:trHeight w:val="0"/>
        </w:trPr>
        <w:tc>
          <w:tcPr>
            <w:tcW w:w="3521" w:type="dxa"/>
          </w:tcPr>
          <w:p>
            <w:pPr/>
            <w:r>
              <w:t xml:space="preserve">题目要求</w:t>
            </w:r>
          </w:p>
        </w:tc>
        <w:tc>
          <w:tcPr>
            <w:tcW w:w="11223" w:type="dxa"/>
          </w:tcPr>
          <w:p>
            <w:pPr/>
            <w:r>
              <w:rPr>
                <w:color w:val="FE0300"/>
              </w:rPr>
              <w:t xml:space="preserve">同时提供附件文档说明</w:t>
            </w:r>
            <w:r>
              <w:rPr>
                <w:sz w:val="23"/>
                <w:color w:val="FE0300"/>
              </w:rPr>
              <w:t xml:space="preserve">代码仓库对应的</w:t>
            </w:r>
            <w:r>
              <w:rPr>
                <w:sz w:val="23"/>
                <w:color w:val="FE0300"/>
                <w:b w:val="1"/>
              </w:rPr>
              <w:t xml:space="preserve">真实业务背景</w:t>
            </w:r>
            <w:r>
              <w:rPr>
                <w:sz w:val="23"/>
                <w:color w:val="FE0300"/>
              </w:rPr>
              <w:t xml:space="preserve">，包括项目服务的业务场景、目标用户、核心功能以及实际应用价值。所提供的代码仓库必须来源于真实生产业务或实际落地项目，不得使用 AI 临时生成、教学示例、Demo、练习项目或为评测专门拼凑的代码。项目应具备明确的真实需求、使用场景和生产价值，代码中的任务应来源于实际开发、维护或迭代过程。</w:t>
            </w:r>
          </w:p>
        </w:tc>
      </w:tr>
      <w:tr>
        <w:trPr>
          <w:trHeight w:val="0"/>
        </w:trPr>
        <w:tc>
          <w:tcPr>
            <w:tcW w:w="3521" w:type="dxa"/>
          </w:tcPr>
          <w:p>
            <w:pPr/>
            <w:r>
              <w:t xml:space="preserve">交付批次</w:t>
            </w:r>
          </w:p>
        </w:tc>
        <w:tc>
          <w:tcPr>
            <w:tcW w:w="11223" w:type="dxa"/>
          </w:tcPr>
          <w:p>
            <w:pPr/>
            <w:r>
              <w:t xml:space="preserve">A：试标题目；B：待定</w:t>
            </w:r>
          </w:p>
        </w:tc>
      </w:tr>
      <w:tr>
        <w:trPr>
          <w:trHeight w:val="0"/>
        </w:trPr>
        <w:tc>
          <w:tcPr>
            <w:tcW w:w="3521" w:type="dxa"/>
          </w:tcPr>
          <w:p>
            <w:pPr/>
            <w:r>
              <w:t xml:space="preserve">时间要求</w:t>
            </w:r>
          </w:p>
        </w:tc>
        <w:tc>
          <w:tcPr>
            <w:tcW w:w="11223" w:type="dxa"/>
          </w:tcPr>
          <w:p>
            <w:pPr/>
            <w:r>
              <w:t xml:space="preserve">交付预期：全部30题</w:t>
            </w:r>
            <w:r>
              <w:rPr>
                <w:b w:val="1"/>
              </w:rPr>
              <w:t xml:space="preserve">10月21日</w:t>
            </w:r>
            <w:r>
              <w:t xml:space="preserve">验收完成，建议分批次提交验收与返修</w:t>
            </w:r>
          </w:p>
        </w:tc>
      </w:tr>
      <w:tr>
        <w:trPr>
          <w:trHeight w:val="0"/>
        </w:trPr>
        <w:tc>
          <w:tcPr>
            <w:tcW w:w="3521" w:type="dxa"/>
          </w:tcPr>
          <w:p>
            <w:pPr/>
            <w:r>
              <w:t xml:space="preserve">单题时限</w:t>
            </w:r>
          </w:p>
        </w:tc>
        <w:tc>
          <w:tcPr>
            <w:tcW w:w="11223" w:type="dxa"/>
          </w:tcPr>
          <w:p>
            <w:pPr/>
            <w:r>
              <w:t xml:space="preserve">专家参考耗时：15–120 分钟（不按难度分档）；超时时间可以上调</w:t>
            </w:r>
          </w:p>
        </w:tc>
      </w:tr>
      <w:tr>
        <w:trPr>
          <w:trHeight w:val="0"/>
        </w:trPr>
        <w:tc>
          <w:tcPr>
            <w:tcW w:w="3521" w:type="dxa"/>
          </w:tcPr>
          <w:p>
            <w:pPr/>
            <w:r>
              <w:t xml:space="preserve">验收与结算口径</w:t>
            </w:r>
          </w:p>
        </w:tc>
        <w:tc>
          <w:tcPr>
            <w:tcW w:w="11223" w:type="dxa"/>
          </w:tcPr>
          <w:p>
            <w:pPr/>
            <w:r>
              <w:t xml:space="preserve">「格式/质量验收通过」与「最终成品入选」分两层记录。退回、重复、泄漏、判分不可稳定复现或准入不合格题不计数；建议合同按合格候选题基础结算、最终入选题设置质量加成，具体以商务条款为准</w:t>
            </w:r>
          </w:p>
        </w:tc>
      </w:tr>
    </w:tbl>
    <w:p>
      <w:pPr/>
      <w:r>
        <w:rPr>
          <w:color w:val="FE0300"/>
        </w:rPr>
        <w:t xml:space="preserve">badpattern 列表</w:t>
      </w:r>
    </w:p>
    <w:p>
      <w:hyperlink r:id="rId4">
        <w:r>
          <w:rPr>
            <w:rStyle w:val="hyperlink"/>
          </w:rPr>
          <w:t xml:space="preserve">请至钉钉文档查看「电子表格」</w:t>
        </w:r>
      </w:hyperlink>
      <w:r/>
    </w:p>
    <w:p>
      <w:pPr>
        <w:pBdr>
          <w:top w:val="single" w:sz="6" w:space="0" w:color="000000"/>
        </w:pBdr>
      </w:pPr>
    </w:p>
    <w:p>
      <w:bookmarkStart w:id="mtr6dx2lrzg69zh0ais" w:name="mtr6dx2lrzg69zh0ais"/>
      <w:pPr>
        <w:pStyle w:val="dingding-heading2"/>
      </w:pPr>
      <w:r>
        <w:t xml:space="preserve">1. 项目目标</w:t>
      </w:r>
      <w:bookmarkEnd w:id="mtr6dx2lrzg69zh0ais"/>
    </w:p>
    <w:p>
      <w:pPr/>
      <w:r>
        <w:t xml:space="preserve">本项目定制生产面向「真实开发流程」的 Code Sense </w:t>
      </w:r>
      <w:r>
        <w:rPr>
          <w:b w:val="1"/>
        </w:rPr>
        <w:t xml:space="preserve">单轮</w:t>
      </w:r>
      <w:r>
        <w:t xml:space="preserve">评测题。每道题须交付</w:t>
      </w:r>
      <w:r>
        <w:rPr>
          <w:b w:val="1"/>
        </w:rPr>
        <w:t xml:space="preserve">可运行单元测试（UT）复现判分</w:t>
      </w:r>
      <w:r>
        <w:t xml:space="preserve">、有明确参考答案与改动点的完整 Harbor 五件套题包，用于评估模型是否像资深工程师一样在单轮作答中真正理解一段代码的实际执行语义、业务逻辑和潜在缺陷；对于在 prompt 内嵌错误前提/挑战的题目，还考察模型是否盲从错误前提、是否在改动后的代码中坐实该题预设的 badpattern。</w:t>
      </w:r>
    </w:p>
    <w:p>
      <w:pPr/>
      <w:r>
        <w:t xml:space="preserve">题目必须同时满足三个条件：</w:t>
      </w:r>
    </w:p>
    <w:p>
      <w:pPr>
        <w:numPr>
          <w:ilvl w:val="0"/>
          <w:numId w:val="2"/>
        </w:numPr>
      </w:pPr>
      <w:r>
        <w:rPr>
          <w:b w:val="1"/>
        </w:rPr>
        <w:t xml:space="preserve">推理深、陷阱隐蔽</w:t>
      </w:r>
      <w:r>
        <w:t xml:space="preserve">：题目落在完整真实仓库语境中，语义或运行时行为存在隐蔽陷阱，不能靠「写出语法正确的代码」蒙对；难点在于在真实代码库里理解与定位，而非单纯写出可编译代码。</w:t>
      </w:r>
    </w:p>
    <w:p>
      <w:pPr>
        <w:numPr>
          <w:ilvl w:val="0"/>
          <w:numId w:val="3"/>
        </w:numPr>
      </w:pPr>
      <w:r>
        <w:rPr>
          <w:b w:val="1"/>
        </w:rPr>
        <w:t xml:space="preserve">单轮作答闭环</w:t>
      </w:r>
      <w:r>
        <w:t xml:space="preserve">：单轮 prompt 完成一次性作答，不设后续追问轮；可在 prompt 内嵌错误前提或挑战条件，检验模型是否盲从、是否坚持已被推翻的幻觉。</w:t>
      </w:r>
    </w:p>
    <w:p>
      <w:pPr>
        <w:numPr>
          <w:ilvl w:val="0"/>
          <w:numId w:val="4"/>
        </w:numPr>
      </w:pPr>
      <w:r>
        <w:rPr>
          <w:b w:val="1"/>
        </w:rPr>
        <w:t xml:space="preserve">有可运行的单元测试判分方案</w:t>
      </w:r>
      <w:r>
        <w:t xml:space="preserve">：交付 &gt; 20 个（≥21）独立 UT 方法（test_*）覆盖 badpattern 每处下游/相关改动点，主分按 UT 通过率计；有功能等价实现的校验保证不同写法不被误杀，可将致命 badpattern 对应的 UT 设为 gating（一票否决），且陷阱本身能用反例程序或失败 UT 复现。</w:t>
      </w:r>
    </w:p>
    <w:p>
      <w:pPr/>
      <w:r>
        <w:t xml:space="preserve">缺少任一条件的题目不属于本次数据定制生产范围。</w:t>
      </w:r>
    </w:p>
    <w:p>
      <w:pPr>
        <w:pBdr>
          <w:top w:val="single" w:sz="6" w:space="0" w:color="000000"/>
        </w:pBdr>
      </w:pPr>
    </w:p>
    <w:p>
      <w:bookmarkStart w:id="mtr6dx2lkoskmgpbb3" w:name="mtr6dx2lkoskmgpbb3"/>
      <w:pPr>
        <w:pStyle w:val="dingding-heading2"/>
      </w:pPr>
      <w:r>
        <w:t xml:space="preserve">2. 题目要求</w:t>
      </w:r>
      <w:bookmarkEnd w:id="mtr6dx2lkoskmgpbb3"/>
    </w:p>
    <w:p>
      <w:bookmarkStart w:id="mtr6dx2ltfflad7nkq" w:name="mtr6dx2ltfflad7nkq"/>
      <w:pPr>
        <w:pStyle w:val="dingding-heading3"/>
      </w:pPr>
      <w:r>
        <w:t xml:space="preserve">2.1 Code Sense 场景特征</w:t>
      </w:r>
      <w:bookmarkEnd w:id="mtr6dx2ltfflad7nkq"/>
    </w:p>
    <w:p>
      <w:pPr/>
      <w:r>
        <w:t xml:space="preserve">每道题必须落在真实工程语境中——开发者日常写代码、读代码、改代码、调试和 Code Review 会遇到的场景，而不是脱离项目的孤立刷题。题面须说明这段代码在什么工程上下文中出现、为什么会有人关心它的行为。</w:t>
      </w:r>
    </w:p>
    <w:p>
      <w:pPr/>
      <w:r>
        <w:t xml:space="preserve">代码上下文规模：每道题应提供完整、可独立运行的真实仓库作为只读工作区（建议仓库代码文件数 &gt; 300），让模型在贴近真实工程的规模下完成阅读、定位与推理；陷阱可分散在仓库中，模型需先在大代码库里定位相关代码再作答。仓库规模为下限建议、不作为退回硬门，关键仍是仓库中存在可由 UT 判定的语义/运行时陷阱。</w:t>
      </w:r>
    </w:p>
    <w:p>
      <w:pPr/>
      <w:r>
        <w:rPr>
          <w:b w:val="1"/>
        </w:rPr>
        <w:t xml:space="preserve">允许的题型范围（ badpattern取值举例）：</w:t>
      </w:r>
    </w:p>
    <w:tbl>
      <w:tblPr>
        <w:tblStyle w:val="tableHeader"/>
        <w:tblW w:w="0" w:type="pct"/>
        <w:tblLook w:firstRow="1" w:lastRow="0" w:firstColumn="0" w:lastColumn="0" w:noHBand="0" w:noVBand="0"/>
      </w:tblPr>
      <w:tblGrid>
        <w:gridCol w:w="7372"/>
        <w:gridCol w:w="7372"/>
      </w:tblGrid>
      <w:tr>
        <w:trPr>
          <w:trHeight w:val="0"/>
        </w:trPr>
        <w:tc>
          <w:tcPr>
            <w:tcW w:w="7372" w:type="dxa"/>
          </w:tcPr>
          <w:p>
            <w:pPr/>
            <w:r>
              <w:rPr>
                <w:b w:val="1"/>
              </w:rPr>
              <w:t xml:space="preserve">badpattern</w:t>
            </w:r>
          </w:p>
        </w:tc>
        <w:tc>
          <w:tcPr>
            <w:tcW w:w="7372" w:type="dxa"/>
          </w:tcPr>
          <w:p>
            <w:pPr/>
            <w:r>
              <w:rPr>
                <w:b w:val="1"/>
              </w:rPr>
              <w:t xml:space="preserve">说明</w:t>
            </w:r>
          </w:p>
        </w:tc>
      </w:tr>
      <w:tr>
        <w:trPr>
          <w:trHeight w:val="0"/>
        </w:trPr>
        <w:tc>
          <w:tcPr>
            <w:tcW w:w="7372" w:type="dxa"/>
          </w:tcPr>
          <w:p>
            <w:pPr/>
            <w:r>
              <w:t xml:space="preserve">改一查十</w:t>
            </w:r>
          </w:p>
        </w:tc>
        <w:tc>
          <w:tcPr>
            <w:tcW w:w="7372" w:type="dxa"/>
          </w:tcPr>
          <w:p>
            <w:pPr/>
            <w:r>
              <w:t xml:space="preserve">改了一个接口，需要把用到该接口的下游都改了</w:t>
            </w:r>
          </w:p>
        </w:tc>
      </w:tr>
      <w:tr>
        <w:trPr>
          <w:trHeight w:val="0"/>
        </w:trPr>
        <w:tc>
          <w:tcPr>
            <w:tcW w:w="7372" w:type="dxa"/>
          </w:tcPr>
          <w:p>
            <w:pPr/>
            <w:r>
              <w:t xml:space="preserve">改一查十</w:t>
            </w:r>
          </w:p>
        </w:tc>
        <w:tc>
          <w:tcPr>
            <w:tcW w:w="7372" w:type="dxa"/>
          </w:tcPr>
          <w:p>
            <w:pPr/>
            <w:r>
              <w:t xml:space="preserve">修了一个 bug、需要把相关的 bug 都修了</w:t>
            </w:r>
          </w:p>
        </w:tc>
      </w:tr>
      <w:tr>
        <w:trPr>
          <w:trHeight w:val="0"/>
        </w:trPr>
        <w:tc>
          <w:tcPr>
            <w:tcW w:w="7372" w:type="dxa"/>
          </w:tcPr>
          <w:p>
            <w:pPr/>
            <w:r>
              <w:t xml:space="preserve">改一查十</w:t>
            </w:r>
          </w:p>
        </w:tc>
        <w:tc>
          <w:tcPr>
            <w:tcW w:w="7372" w:type="dxa"/>
          </w:tcPr>
          <w:p>
            <w:pPr/>
            <w:r>
              <w:t xml:space="preserve">需要大范围改动类似的地方</w:t>
            </w:r>
          </w:p>
        </w:tc>
      </w:tr>
    </w:tbl>
    <w:p>
      <w:bookmarkStart w:id="mtr6dx2msm0b5n5hcgs" w:name="mtr6dx2msm0b5n5hcgs"/>
      <w:pPr>
        <w:pStyle w:val="dingding-heading3"/>
      </w:pPr>
      <w:r>
        <w:t xml:space="preserve">2.2 单轮与内嵌挑战设计</w:t>
      </w:r>
      <w:bookmarkEnd w:id="mtr6dx2msm0b5n5hcgs"/>
    </w:p>
    <w:p>
      <w:pPr/>
      <w:r>
        <w:rPr>
          <w:b w:val="1"/>
        </w:rPr>
        <w:t xml:space="preserve">单轮与挑战设计要求：</w:t>
      </w:r>
    </w:p>
    <w:tbl>
      <w:tblPr>
        <w:tblStyle w:val="tableHeader"/>
        <w:tblW w:w="0" w:type="pct"/>
        <w:tblLook w:firstRow="1" w:lastRow="0" w:firstColumn="0" w:lastColumn="0" w:noHBand="0" w:noVBand="0"/>
      </w:tblPr>
      <w:tblGrid>
        <w:gridCol w:w="7372"/>
        <w:gridCol w:w="7372"/>
      </w:tblGrid>
      <w:tr>
        <w:trPr>
          <w:trHeight w:val="0"/>
        </w:trPr>
        <w:tc>
          <w:tcPr>
            <w:tcW w:w="7372" w:type="dxa"/>
          </w:tcPr>
          <w:p>
            <w:pPr/>
            <w:r>
              <w:t xml:space="preserve">项</w:t>
            </w:r>
          </w:p>
        </w:tc>
        <w:tc>
          <w:tcPr>
            <w:tcW w:w="7372" w:type="dxa"/>
          </w:tcPr>
          <w:p>
            <w:pPr/>
            <w:r>
              <w:t xml:space="preserve">要求</w:t>
            </w:r>
          </w:p>
        </w:tc>
      </w:tr>
      <w:tr>
        <w:trPr>
          <w:trHeight w:val="0"/>
        </w:trPr>
        <w:tc>
          <w:tcPr>
            <w:tcW w:w="7372" w:type="dxa"/>
          </w:tcPr>
          <w:p>
            <w:pPr/>
            <w:r>
              <w:t xml:space="preserve">交互形态</w:t>
            </w:r>
          </w:p>
        </w:tc>
        <w:tc>
          <w:tcPr>
            <w:tcW w:w="7372" w:type="dxa"/>
          </w:tcPr>
          <w:p>
            <w:pPr/>
            <w:r>
              <w:t xml:space="preserve">单轮：一次 prompt、一次作答、一次单元测试判分，不设后续追问轮。多轮题直接退回</w:t>
            </w:r>
          </w:p>
        </w:tc>
      </w:tr>
      <w:tr>
        <w:trPr>
          <w:trHeight w:val="0"/>
        </w:trPr>
        <w:tc>
          <w:tcPr>
            <w:tcW w:w="7372" w:type="dxa"/>
          </w:tcPr>
          <w:p>
            <w:pPr/>
            <w:r>
              <w:t xml:space="preserve">内嵌挑战</w:t>
            </w:r>
          </w:p>
        </w:tc>
        <w:tc>
          <w:tcPr>
            <w:tcW w:w="7372" w:type="dxa"/>
          </w:tcPr>
          <w:p>
            <w:pPr/>
            <w:r>
              <w:t xml:space="preserve">≥ 40% 的题目（即 30 题中 ≥ 12 题）须在 prompt 内嵌至少一个错误前提或半错断言（如给出一段“看似正确”的分析草稿供模型评判），检验模型是否盲从、是否坐实 badpattern。其中至少 3 题内嵌的是明确错误的前提，正确行为是识别并拒绝顺从</w:t>
            </w:r>
          </w:p>
        </w:tc>
      </w:tr>
      <w:tr>
        <w:trPr>
          <w:trHeight w:val="0"/>
        </w:trPr>
        <w:tc>
          <w:tcPr>
            <w:tcW w:w="7372" w:type="dxa"/>
          </w:tcPr>
          <w:p>
            <w:pPr/>
            <w:r>
              <w:t xml:space="preserve">独立判定</w:t>
            </w:r>
          </w:p>
        </w:tc>
        <w:tc>
          <w:tcPr>
            <w:tcW w:w="7372" w:type="dxa"/>
          </w:tcPr>
          <w:p>
            <w:pPr/>
            <w:r>
              <w:t xml:space="preserve">每处改动点与每个 UT 方法独立判定；针对 badpattern 的 UT（含 gating）独立计入通过率或一票否决</w:t>
            </w:r>
          </w:p>
        </w:tc>
      </w:tr>
      <w:tr>
        <w:trPr>
          <w:trHeight w:val="0"/>
        </w:trPr>
        <w:tc>
          <w:tcPr>
            <w:tcW w:w="7372" w:type="dxa"/>
          </w:tcPr>
          <w:p>
            <w:pPr/>
            <w:r>
              <w:t xml:space="preserve">挑战不得泄题</w:t>
            </w:r>
          </w:p>
        </w:tc>
        <w:tc>
          <w:tcPr>
            <w:tcW w:w="7372" w:type="dxa"/>
          </w:tcPr>
          <w:p>
            <w:pPr/>
            <w:r>
              <w:t xml:space="preserve">prompt 内嵌的错误前提/挑战不得直接点出正确答案或陷阱名称（见下）</w:t>
            </w:r>
          </w:p>
        </w:tc>
      </w:tr>
      <w:tr>
        <w:trPr>
          <w:trHeight w:val="0"/>
        </w:trPr>
        <w:tc>
          <w:tcPr>
            <w:tcW w:w="7372" w:type="dxa"/>
          </w:tcPr>
          <w:p>
            <w:pPr/>
            <w:r>
              <w:t xml:space="preserve">区分意图</w:t>
            </w:r>
          </w:p>
        </w:tc>
        <w:tc>
          <w:tcPr>
            <w:tcW w:w="7372" w:type="dxa"/>
          </w:tcPr>
          <w:p>
            <w:pPr/>
            <w:r>
              <w:t xml:space="preserve">每个内嵌挑战须在 expert_design_notes 中说明预期能区分开哪两类模型行为</w:t>
            </w:r>
          </w:p>
        </w:tc>
      </w:tr>
    </w:tbl>
    <w:p>
      <w:pPr/>
      <w:r>
        <w:rPr>
          <w:b w:val="1"/>
        </w:rPr>
        <w:t xml:space="preserve">挑战不得泄题</w:t>
      </w:r>
      <w:r>
        <w:t xml:space="preserve">：prompt 内嵌的错误前提/挑战文本不得直接点出正确答案或陷阱名称。例如可以给出「两个线程同时通过第一个 if 检查后不会有问题」这类错误草稿让模型评判，不得写「你是否遗漏了锁内的二次检查？」。</w:t>
      </w:r>
    </w:p>
    <w:p>
      <w:pPr/>
      <w:r>
        <w:rPr>
          <w:b w:val="1"/>
        </w:rPr>
        <w:t xml:space="preserve">挑战必须有区分力</w:t>
      </w:r>
      <w:r>
        <w:t xml:space="preserve">：每个内嵌挑战须在 </w:t>
      </w:r>
      <w:r>
        <w:rPr>
          <w:shd w:val="clear" w:color="auto" w:fill="F0F1F1"/>
        </w:rPr>
        <w:t xml:space="preserve">expert_design_notes</w:t>
      </w:r>
      <w:r>
        <w:t xml:space="preserve"> 中说明预期能区分开哪两类模型行为。无法说明区分意图的挑战按无效设计处理，该题 UT 设计不合格。</w:t>
      </w:r>
    </w:p>
    <w:p>
      <w:bookmarkStart w:id="mtr6dx2mpn0aicao6a" w:name="mtr6dx2mpn0aicao6a"/>
      <w:pPr>
        <w:pStyle w:val="dingding-heading3"/>
      </w:pPr>
      <w:r>
        <w:t xml:space="preserve">2.3 陷阱与语义边界</w:t>
      </w:r>
      <w:bookmarkEnd w:id="mtr6dx2mpn0aicao6a"/>
    </w:p>
    <w:p>
      <w:pPr/>
      <w:r>
        <w:rPr>
          <w:b w:val="1"/>
        </w:rPr>
        <w:t xml:space="preserve">陷阱可证性（硬性要求）</w:t>
      </w:r>
      <w:r>
        <w:t xml:space="preserve">：每道题的陷阱不得只是文字声称，必须交付</w:t>
      </w:r>
      <w:r>
        <w:rPr>
          <w:b w:val="1"/>
        </w:rPr>
        <w:t xml:space="preserve">可执行的反例程序</w:t>
      </w:r>
      <w:r>
        <w:t xml:space="preserve">，在声明的语言版本与平台上实际触发陷阱，并附真实运行日志（stdout/stderr + 语言/编译器版本 + 平台）。无法用反例程序复现的陷阱，该题直接退回。</w:t>
      </w:r>
    </w:p>
    <w:p>
      <w:pPr/>
      <w:r>
        <w:t xml:space="preserve">对于概率性陷阱（如并发竞态），反例程序须能在合理重试次数内稳定复现，并附复现率统计（如「50 次运行中 43 次触发重复实例化」）。</w:t>
      </w:r>
    </w:p>
    <w:p>
      <w:pPr/>
      <w:r>
        <w:rPr>
          <w:b w:val="1"/>
        </w:rPr>
        <w:t xml:space="preserve">语义边界必须写清</w:t>
      </w:r>
      <w:r>
        <w:t xml:space="preserve">：</w:t>
      </w:r>
      <w:r>
        <w:rPr>
          <w:shd w:val="clear" w:color="auto" w:fill="F0F1F1"/>
        </w:rPr>
        <w:t xml:space="preserve">expert_design_notes.boundary</w:t>
      </w:r>
      <w:r>
        <w:t xml:space="preserve"> 须写明哪些行为在本题范围内属于错误、哪些属于超出考察范围而不扣分。例如「Python 中 </w:t>
      </w:r>
      <w:r>
        <w:rPr>
          <w:shd w:val="clear" w:color="auto" w:fill="F0F1F1"/>
        </w:rPr>
        <w:t xml:space="preserve">__init__</w:t>
      </w:r>
      <w:r>
        <w:t xml:space="preserve"> 会重复调用，但本题只考察实例唯一性，因此不作为硬性错误」。边界未声明而在验收时引发 UT 判定争议的，按 UT 设计不合格处理。</w:t>
      </w:r>
    </w:p>
    <w:p>
      <w:pPr/>
      <w:r>
        <w:rPr>
          <w:b w:val="1"/>
        </w:rPr>
        <w:t xml:space="preserve">合理干扰 vs 恶意设坑</w:t>
      </w:r>
      <w:r>
        <w:t xml:space="preserve">：允许在只读上下文中放同名符号、相似逻辑的干扰代码来考察定位能力（真实工程中本就存在这类代码）；</w:t>
      </w:r>
      <w:r>
        <w:rPr>
          <w:b w:val="1"/>
        </w:rPr>
        <w:t xml:space="preserve">不接受</w:t>
      </w:r>
      <w:r>
        <w:t xml:space="preserve">为测模型弱点凭空编造的陷阱、题面未提及的隐含偏好、以及依赖冷门实现细节才能答对的判定。</w:t>
      </w:r>
    </w:p>
    <w:p>
      <w:bookmarkStart w:id="mtr6dx2n49jn6d9x4hx" w:name="mtr6dx2n49jn6d9x4hx"/>
      <w:pPr>
        <w:pStyle w:val="dingding-heading3"/>
      </w:pPr>
      <w:r>
        <w:t xml:space="preserve">2.4 题目考察点</w:t>
      </w:r>
      <w:bookmarkEnd w:id="mtr6dx2n49jn6d9x4hx"/>
    </w:p>
    <w:p>
      <w:pPr/>
      <w:r>
        <w:t xml:space="preserve">考察点共七项：①执行语义与状态追踪；②隐蔽缺陷定位与归因；③单轮反幻觉与拒绝错误前提；④语言/运行时语义边界；⑤推理链可追溯性；⑥约束理解与 tradeoff 判断；⑦表述准确性与不过度声明。</w:t>
      </w:r>
    </w:p>
    <w:p>
      <w:pPr/>
      <w:r>
        <w:t xml:space="preserve">每道题的考察点由两部分组成：</w:t>
      </w:r>
    </w:p>
    <w:p>
      <w:pPr>
        <w:numPr>
          <w:ilvl w:val="0"/>
          <w:numId w:val="5"/>
        </w:numPr>
      </w:pPr>
      <w:r>
        <w:rPr>
          <w:b w:val="1"/>
        </w:rPr>
        <w:t xml:space="preserve">固定部分</w:t>
      </w:r>
      <w:r>
        <w:t xml:space="preserve">：③单轮反幻觉与拒绝错误前提、⑤推理链可追溯性——所有题目必须包含，无需额外声明，由必检 UT 自动覆盖。其中反幻觉项以「模型改动后的代码是否实际产生该题预设 badpattern」为扣分/否决锚点。</w:t>
      </w:r>
    </w:p>
    <w:p>
      <w:pPr>
        <w:numPr>
          <w:ilvl w:val="0"/>
          <w:numId w:val="6"/>
        </w:numPr>
      </w:pPr>
      <w:r>
        <w:t xml:space="preserve">选择部分：从剩余五项（①②④⑥⑦）中选取 1～3 项，作为本题的差异化考察重点，须在 task.toml 的 [metadata].focus_points 中显式列出。</w:t>
      </w:r>
    </w:p>
    <w:tbl>
      <w:tblPr>
        <w:tblStyle w:val="tableHeader"/>
        <w:tblW w:w="0" w:type="pct"/>
        <w:tblLook w:firstRow="1" w:lastRow="0" w:firstColumn="0" w:lastColumn="0" w:noHBand="0" w:noVBand="0"/>
      </w:tblPr>
      <w:tblGrid>
        <w:gridCol w:w="7372"/>
        <w:gridCol w:w="7372"/>
      </w:tblGrid>
      <w:tr>
        <w:trPr>
          <w:trHeight w:val="0"/>
        </w:trPr>
        <w:tc>
          <w:tcPr>
            <w:tcW w:w="7372" w:type="dxa"/>
          </w:tcPr>
          <w:p>
            <w:pPr/>
            <w:r>
              <w:rPr>
                <w:b w:val="1"/>
              </w:rPr>
              <w:t xml:space="preserve">项目</w:t>
            </w:r>
          </w:p>
        </w:tc>
        <w:tc>
          <w:tcPr>
            <w:tcW w:w="7372" w:type="dxa"/>
          </w:tcPr>
          <w:p>
            <w:pPr/>
            <w:r>
              <w:rPr>
                <w:b w:val="1"/>
              </w:rPr>
              <w:t xml:space="preserve">要求</w:t>
            </w:r>
          </w:p>
        </w:tc>
      </w:tr>
      <w:tr>
        <w:trPr>
          <w:trHeight w:val="0"/>
        </w:trPr>
        <w:tc>
          <w:tcPr>
            <w:tcW w:w="7372" w:type="dxa"/>
          </w:tcPr>
          <w:p>
            <w:pPr/>
            <w:r>
              <w:t xml:space="preserve">通用必检项</w:t>
            </w:r>
          </w:p>
        </w:tc>
        <w:tc>
          <w:tcPr>
            <w:tcW w:w="7372" w:type="dxa"/>
          </w:tcPr>
          <w:p>
            <w:pPr/>
            <w:r>
              <w:t xml:space="preserve">推理链可追溯（execution trace / 状态变化 / 因果解释）、单轮反幻觉表现（改动后代码是否坐实预设 badpattern），均须映射为可运行 UT</w:t>
            </w:r>
          </w:p>
        </w:tc>
      </w:tr>
      <w:tr>
        <w:trPr>
          <w:trHeight w:val="0"/>
        </w:trPr>
        <w:tc>
          <w:tcPr>
            <w:tcW w:w="7372" w:type="dxa"/>
          </w:tcPr>
          <w:p>
            <w:pPr/>
            <w:r>
              <w:t xml:space="preserve">语义陷阱点</w:t>
            </w:r>
          </w:p>
        </w:tc>
        <w:tc>
          <w:tcPr>
            <w:tcW w:w="7372" w:type="dxa"/>
          </w:tcPr>
          <w:p>
            <w:pPr/>
            <w:r>
              <w:t xml:space="preserve">写明陷阱的具体语义位置与触发条件，不得写「有个坑」这类表述</w:t>
            </w:r>
          </w:p>
        </w:tc>
      </w:tr>
      <w:tr>
        <w:trPr>
          <w:trHeight w:val="0"/>
        </w:trPr>
        <w:tc>
          <w:tcPr>
            <w:tcW w:w="7372" w:type="dxa"/>
          </w:tcPr>
          <w:p>
            <w:pPr/>
            <w:r>
              <w:t xml:space="preserve">关键改动点</w:t>
            </w:r>
          </w:p>
        </w:tc>
        <w:tc>
          <w:tcPr>
            <w:tcW w:w="7372" w:type="dxa"/>
          </w:tcPr>
          <w:p>
            <w:pPr/>
            <w:r>
              <w:t xml:space="preserve">从代码到结论必须命中的中间推理步骤与每处下游/相关改动点，逐条列出并各至少对应一个 UT 方法</w:t>
            </w:r>
          </w:p>
        </w:tc>
      </w:tr>
      <w:tr>
        <w:trPr>
          <w:trHeight w:val="0"/>
        </w:trPr>
        <w:tc>
          <w:tcPr>
            <w:tcW w:w="7372" w:type="dxa"/>
          </w:tcPr>
          <w:p>
            <w:pPr/>
            <w:r>
              <w:t xml:space="preserve">badpattern 清单</w:t>
            </w:r>
          </w:p>
        </w:tc>
        <w:tc>
          <w:tcPr>
            <w:tcW w:w="7372" w:type="dxa"/>
          </w:tcPr>
          <w:p>
            <w:pPr/>
            <w:r>
              <w:t xml:space="preserve">逐条列出本题预设的 badpattern（模型典型错误行为），每条给出可由 UT 断言判定的命中特征；至少 3 条并在 tests/assets/ 有真实答卷片段作证（对应 model_failure_modes）</w:t>
            </w:r>
          </w:p>
        </w:tc>
      </w:tr>
      <w:tr>
        <w:trPr>
          <w:trHeight w:val="0"/>
        </w:trPr>
        <w:tc>
          <w:tcPr>
            <w:tcW w:w="7372" w:type="dxa"/>
          </w:tcPr>
          <w:p>
            <w:pPr/>
            <w:r>
              <w:t xml:space="preserve">可接受变体</w:t>
            </w:r>
          </w:p>
        </w:tc>
        <w:tc>
          <w:tcPr>
            <w:tcW w:w="7372" w:type="dxa"/>
          </w:tcPr>
          <w:p>
            <w:pPr/>
            <w:r>
              <w:t xml:space="preserve">至少 2 个功能等价、写法不同的实现，各自需能通过全部非 gating UT</w:t>
            </w:r>
          </w:p>
        </w:tc>
      </w:tr>
      <w:tr>
        <w:trPr>
          <w:trHeight w:val="0"/>
        </w:trPr>
        <w:tc>
          <w:tcPr>
            <w:tcW w:w="7372" w:type="dxa"/>
          </w:tcPr>
          <w:p>
            <w:pPr/>
            <w:r>
              <w:t xml:space="preserve">边界声明</w:t>
            </w:r>
          </w:p>
        </w:tc>
        <w:tc>
          <w:tcPr>
            <w:tcW w:w="7372" w:type="dxa"/>
          </w:tcPr>
          <w:p>
            <w:pPr/>
            <w:r>
              <w:t xml:space="preserve">明确写出不在考察范围内、不纳入 UT 断言的行为</w:t>
            </w:r>
          </w:p>
        </w:tc>
      </w:tr>
      <w:tr>
        <w:trPr>
          <w:trHeight w:val="0"/>
        </w:trPr>
        <w:tc>
          <w:tcPr>
            <w:tcW w:w="7372" w:type="dxa"/>
          </w:tcPr>
          <w:p>
            <w:pPr/>
            <w:r>
              <w:t xml:space="preserve">判分方式</w:t>
            </w:r>
          </w:p>
        </w:tc>
        <w:tc>
          <w:tcPr>
            <w:tcW w:w="7372" w:type="dxa"/>
          </w:tcPr>
          <w:p>
            <w:pPr/>
            <w:r>
              <w:t xml:space="preserve">全部判分由 tests/ 下 UT 方法执行，judge_type 统一为 unit_test；主分 = UT 通过率；全程不使用 LLM judge / rubric 权重</w:t>
            </w:r>
          </w:p>
        </w:tc>
      </w:tr>
    </w:tbl>
    <w:p>
      <w:pPr/>
      <w:r>
        <w:t xml:space="preserve">§2.4 七项考察点与 §2.6 badpattern 维度为两个维度的分类：一道题有且仅有一个 badpattern（用于配额归属），同时可有多个考察点（用于 UT 方法设计）。两者不要求一一对应，但每道题的 task.toml 须在 [metadata] 同时声明 badpattern 与 focus_points，验收方在题意检查中核对一致性。</w:t>
      </w:r>
    </w:p>
    <w:p>
      <w:bookmarkStart w:id="mtr6dx2nwdveafo250n" w:name="mtr6dx2nwdveafo250n"/>
      <w:pPr>
        <w:pStyle w:val="dingding-heading3"/>
      </w:pPr>
      <w:r>
        <w:t xml:space="preserve">2.5 不符合数据定制生产需求的题目</w:t>
      </w:r>
      <w:bookmarkEnd w:id="mtr6dx2nwdveafo250n"/>
    </w:p>
    <w:p>
      <w:pPr/>
      <w:r>
        <w:t xml:space="preserve">以下题目直接退回：</w:t>
      </w:r>
    </w:p>
    <w:p>
      <w:pPr>
        <w:numPr>
          <w:ilvl w:val="0"/>
          <w:numId w:val="7"/>
        </w:numPr>
      </w:pPr>
      <w:r>
        <w:t xml:space="preserve">无语义陷阱、不考察代码语义推理或 badpattern，UT 仅校验平凡功能正确性、未针对「改一查十」的下游/相关改动点与语义陷阱的纯功能实现题——属传统 coding eval，不属 Code Sense；</w:t>
      </w:r>
    </w:p>
    <w:p>
      <w:pPr>
        <w:numPr>
          <w:ilvl w:val="0"/>
          <w:numId w:val="8"/>
        </w:numPr>
      </w:pPr>
      <w:r>
        <w:t xml:space="preserve">以「改好整个 repo / 让全部测试变绿」为唯一目标、UT 未锚定语义陷阱与 badpattern 改动点的任务——属传统仓库级 coding/SWE 任务，不考察代码语义推理（仓库本身规模大不构成退回理由）；</w:t>
      </w:r>
    </w:p>
    <w:p>
      <w:pPr>
        <w:numPr>
          <w:ilvl w:val="0"/>
          <w:numId w:val="9"/>
        </w:numPr>
      </w:pPr>
      <w:r>
        <w:t xml:space="preserve">纯运维、环境、终端操作类任务（装依赖、查 K8s、定位生产根因）；</w:t>
      </w:r>
    </w:p>
    <w:p>
      <w:pPr>
        <w:numPr>
          <w:ilvl w:val="0"/>
          <w:numId w:val="9"/>
        </w:numPr>
      </w:pPr>
      <w:r>
        <w:t xml:space="preserve">纯框架/库 API 记忆、版本参数名背诵。知识性内容只有在能揭示模型对语言/运行时语义混淆时才有价值；</w:t>
      </w:r>
    </w:p>
    <w:p>
      <w:pPr>
        <w:numPr>
          <w:ilvl w:val="0"/>
          <w:numId w:val="10"/>
        </w:numPr>
      </w:pPr>
      <w:r>
        <w:t xml:space="preserve">纯编程竞赛难度，仅靠算法复杂度或代码量堆砌制造难度、而无隐蔽语义陷阱（仓库规模大但存在真实语义陷阱的题目不在此列）；</w:t>
      </w:r>
    </w:p>
    <w:p>
      <w:pPr>
        <w:numPr>
          <w:ilvl w:val="0"/>
          <w:numId w:val="11"/>
        </w:numPr>
      </w:pPr>
      <w:r>
        <w:t xml:space="preserve">没有唯一答案或共识答案的开放主观题（如「你觉得怎样写最好」），或无法用 UT 方法客观锚定；</w:t>
      </w:r>
    </w:p>
    <w:p>
      <w:pPr>
        <w:numPr>
          <w:ilvl w:val="0"/>
          <w:numId w:val="9"/>
        </w:numPr>
      </w:pPr>
      <w:r>
        <w:t xml:space="preserve">陷阱靠编造，无法用反例程序复现；</w:t>
      </w:r>
    </w:p>
    <w:p>
      <w:pPr>
        <w:numPr>
          <w:ilvl w:val="0"/>
          <w:numId w:val="12"/>
        </w:numPr>
      </w:pPr>
      <w:r>
        <w:t xml:space="preserve">UT 断言依赖「解释清楚」「分析合理」「基本正确」这类无法程序化判定的自然语言断言，或 UT 方法与 badpattern 改动点无对应关系；</w:t>
      </w:r>
    </w:p>
    <w:p>
      <w:pPr>
        <w:numPr>
          <w:ilvl w:val="0"/>
          <w:numId w:val="13"/>
        </w:numPr>
      </w:pPr>
      <w:r>
        <w:t xml:space="preserve">直接复制公开 benchmark（CRUXEval、LiveCodeBench、SWE-bench 及其变体等）、教程、课程项目或面试题库，只修改变量名、字面量或语言；</w:t>
      </w:r>
    </w:p>
    <w:p>
      <w:pPr>
        <w:numPr>
          <w:ilvl w:val="0"/>
          <w:numId w:val="9"/>
        </w:numPr>
      </w:pPr>
      <w:r>
        <w:rPr>
          <w:b w:val="1"/>
        </w:rPr>
        <w:t xml:space="preserve">蒙对率检验不通过</w:t>
      </w:r>
      <w:r>
        <w:t xml:space="preserve">：语法正确的模板化答案即可拿到及格分（见 §3.5）；</w:t>
      </w:r>
    </w:p>
    <w:p>
      <w:pPr>
        <w:numPr>
          <w:ilvl w:val="0"/>
          <w:numId w:val="9"/>
        </w:numPr>
      </w:pPr>
      <w:r>
        <w:t xml:space="preserve">使用未授权代码、真实敏感数据或存在其他合规问题。</w:t>
      </w:r>
    </w:p>
    <w:p>
      <w:bookmarkStart w:id="mtr6dx2pleal9rsky9d" w:name="mtr6dx2pleal9rsky9d"/>
      <w:pPr>
        <w:pStyle w:val="dingding-heading3"/>
      </w:pPr>
      <w:r>
        <w:t xml:space="preserve">2.6 题目覆盖及配额</w:t>
      </w:r>
      <w:bookmarkEnd w:id="mtr6dx2pleal9rsky9d"/>
    </w:p>
    <w:p>
      <w:pPr/>
      <w:r>
        <w:rPr>
          <w:b w:val="1"/>
        </w:rPr>
        <w:t xml:space="preserve">题型配额（</w:t>
      </w:r>
      <w:r>
        <w:rPr>
          <w:shd w:val="clear" w:color="auto" w:fill="F0F1F1"/>
        </w:rPr>
        <w:t xml:space="preserve">badpattern</w:t>
      </w:r>
      <w:r>
        <w:rPr>
          <w:b w:val="1"/>
        </w:rPr>
        <w:t xml:space="preserve">）：（完整数据待提供）</w:t>
      </w:r>
    </w:p>
    <w:tbl>
      <w:tblPr>
        <w:tblStyle w:val="tableHeader"/>
        <w:tblW w:w="0" w:type="pct"/>
        <w:tblLook w:firstRow="1" w:lastRow="0" w:firstColumn="0" w:lastColumn="0" w:noHBand="0" w:noVBand="0"/>
      </w:tblPr>
      <w:tblGrid>
        <w:gridCol w:w="4711"/>
        <w:gridCol w:w="10033"/>
      </w:tblGrid>
      <w:tr>
        <w:trPr>
          <w:trHeight w:val="0"/>
        </w:trPr>
        <w:tc>
          <w:tcPr>
            <w:tcW w:w="4711" w:type="dxa"/>
            <w:vAlign w:val="top"/>
          </w:tcPr>
          <w:p>
            <w:pPr/>
            <w:r>
              <w:rPr>
                <w:b w:val="1"/>
              </w:rPr>
              <w:t xml:space="preserve">badpattern</w:t>
            </w:r>
          </w:p>
        </w:tc>
        <w:tc>
          <w:tcPr>
            <w:tcW w:w="10033" w:type="dxa"/>
            <w:vAlign w:val="top"/>
          </w:tcPr>
          <w:p>
            <w:pPr/>
            <w:r>
              <w:rPr>
                <w:b w:val="1"/>
              </w:rPr>
              <w:t xml:space="preserve">说明</w:t>
            </w:r>
          </w:p>
        </w:tc>
      </w:tr>
      <w:tr>
        <w:trPr>
          <w:trHeight w:val="0"/>
        </w:trPr>
        <w:tc>
          <w:tcPr>
            <w:tcW w:w="4711" w:type="dxa"/>
            <w:vAlign w:val="top"/>
          </w:tcPr>
          <w:p>
            <w:pPr/>
            <w:r>
              <w:t xml:space="preserve">改一查十</w:t>
            </w:r>
          </w:p>
        </w:tc>
        <w:tc>
          <w:tcPr>
            <w:tcW w:w="10033" w:type="dxa"/>
            <w:vAlign w:val="top"/>
          </w:tcPr>
          <w:p>
            <w:pPr/>
            <w:r>
              <w:t xml:space="preserve">改了一个接口，需要把用到该接口的下游都改了</w:t>
            </w:r>
          </w:p>
        </w:tc>
      </w:tr>
      <w:tr>
        <w:trPr>
          <w:trHeight w:val="0"/>
        </w:trPr>
        <w:tc>
          <w:tcPr>
            <w:tcW w:w="4711" w:type="dxa"/>
            <w:vAlign w:val="top"/>
          </w:tcPr>
          <w:p>
            <w:pPr/>
            <w:r>
              <w:t xml:space="preserve">改一查十</w:t>
            </w:r>
          </w:p>
        </w:tc>
        <w:tc>
          <w:tcPr>
            <w:tcW w:w="10033" w:type="dxa"/>
            <w:vAlign w:val="top"/>
          </w:tcPr>
          <w:p>
            <w:pPr/>
            <w:r>
              <w:t xml:space="preserve">修了一个bug、需要把相关的bug都修了</w:t>
            </w:r>
          </w:p>
        </w:tc>
      </w:tr>
      <w:tr>
        <w:trPr>
          <w:trHeight w:val="0"/>
        </w:trPr>
        <w:tc>
          <w:tcPr>
            <w:tcW w:w="4711" w:type="dxa"/>
            <w:vAlign w:val="top"/>
          </w:tcPr>
          <w:p>
            <w:pPr/>
            <w:r>
              <w:t xml:space="preserve">改一查十</w:t>
            </w:r>
          </w:p>
        </w:tc>
        <w:tc>
          <w:tcPr>
            <w:tcW w:w="10033" w:type="dxa"/>
            <w:vAlign w:val="top"/>
          </w:tcPr>
          <w:p>
            <w:pPr/>
            <w:r>
              <w:t xml:space="preserve">需要大范围改动类似的地方</w:t>
            </w:r>
          </w:p>
        </w:tc>
      </w:tr>
    </w:tbl>
    <w:p>
      <w:pPr>
        <w:pBdr>
          <w:top w:val="single" w:sz="6" w:space="0" w:color="000000"/>
        </w:pBdr>
      </w:pPr>
    </w:p>
    <w:p>
      <w:pPr/>
      <w:r>
        <w:t xml:space="preserve">以下交付物按逻辑归为六类（题面与单轮 prompt、Golden 标准预期、UT 与判分脚本、标杆校准、元数据、可复现性），详见 §3.10 交付清单表。</w:t>
      </w:r>
    </w:p>
    <w:p>
      <w:pPr>
        <w:numPr>
          <w:ilvl w:val="0"/>
          <w:numId w:val="14"/>
        </w:numPr>
      </w:pPr>
      <w:r>
        <w:rPr>
          <w:b w:val="1"/>
        </w:rPr>
        <w:t xml:space="preserve">题面与单轮 prompt</w:t>
      </w:r>
      <w:r>
        <w:t xml:space="preserve">：工程背景、代码上下文、单轮 prompt 文本（含内嵌挑战/错误前提，如有）；</w:t>
      </w:r>
    </w:p>
    <w:p>
      <w:pPr>
        <w:numPr>
          <w:ilvl w:val="0"/>
          <w:numId w:val="15"/>
        </w:numPr>
      </w:pPr>
      <w:r>
        <w:rPr>
          <w:b w:val="1"/>
        </w:rPr>
        <w:t xml:space="preserve">Golden 标准预期</w:t>
      </w:r>
      <w:r>
        <w:t xml:space="preserve">：每轮参考答案、改动点清单、功能等价实现变体，以及陷阱反例程序与运行日志；</w:t>
      </w:r>
    </w:p>
    <w:p>
      <w:pPr>
        <w:numPr>
          <w:ilvl w:val="0"/>
          <w:numId w:val="16"/>
        </w:numPr>
      </w:pPr>
      <w:r>
        <w:rPr>
          <w:b w:val="1"/>
        </w:rPr>
        <w:t xml:space="preserve">元数据：</w:t>
      </w:r>
      <w:r>
        <w:t xml:space="preserve">badpattern、考察点、陷阱类型、运行平台、来源与许可证；</w:t>
      </w:r>
    </w:p>
    <w:p>
      <w:pPr>
        <w:numPr>
          <w:ilvl w:val="0"/>
          <w:numId w:val="17"/>
        </w:numPr>
      </w:pPr>
      <w:r>
        <w:rPr>
          <w:b w:val="1"/>
        </w:rPr>
        <w:t xml:space="preserve">UT 与判分脚本</w:t>
      </w:r>
      <w:r>
        <w:t xml:space="preserve">：单元测试方法清单、覆盖维度、gating 标记、判分方式、证据要求，以及每个 UT 方法的判定逻辑（断言/运行结果）；</w:t>
      </w:r>
    </w:p>
    <w:p>
      <w:pPr>
        <w:numPr>
          <w:ilvl w:val="0"/>
          <w:numId w:val="16"/>
        </w:numPr>
      </w:pPr>
      <w:r>
        <w:rPr>
          <w:b w:val="1"/>
        </w:rPr>
        <w:t xml:space="preserve">标杆校准四件套</w:t>
      </w:r>
      <w:r>
        <w:t xml:space="preserve">：满分样例、缺陷样例、蒙对样例、等价变体样例，各附逐条打分单；</w:t>
      </w:r>
    </w:p>
    <w:p>
      <w:pPr>
        <w:numPr>
          <w:ilvl w:val="0"/>
          <w:numId w:val="18"/>
        </w:numPr>
      </w:pPr>
      <w:r>
        <w:rPr>
          <w:b w:val="1"/>
        </w:rPr>
        <w:t xml:space="preserve">包外证据包</w:t>
      </w:r>
      <w:r>
        <w:t xml:space="preserve">：模型错误模式证据、基线模型试测日志、自检结论。</w:t>
      </w:r>
    </w:p>
    <w:p>
      <w:pPr/>
      <w:r>
        <w:t xml:space="preserve">题面应描述工程背景与问题，但不得提示陷阱名称、正确结论或参考答案的推理路径。单元测试判分不得与参考答案做整段字符串 Diff，应通过 UT 断言对每处改动点与语义行为做等价判定，并借助功能等价实现变体覆盖等价写法。</w:t>
      </w:r>
    </w:p>
    <w:p>
      <w:bookmarkStart w:id="mtr6dx2sqxzjpg2svyj" w:name="mtr6dx2sqxzjpg2svyj"/>
      <w:pPr>
        <w:pStyle w:val="dingding-heading3"/>
      </w:pPr>
      <w:r>
        <w:t xml:space="preserve">3.1 单题 Harbor 五件套结构</w:t>
      </w:r>
      <w:bookmarkEnd w:id="mtr6dx2sqxzjpg2svyj"/>
    </w:p>
    <w:p>
      <w:pPr/>
      <w:r>
        <w:t xml:space="preserve">每道题以独立目录交付，目录名 = 题目编号。可见性由目录层级划定：instruction.md 与 environment/workspace/repo/ 对被测模型可见，solution/、tests/ 下内容对被测模型一律不可见，由评测框架保证隔离。</w:t>
      </w:r>
    </w:p>
    <w:p>
      <w:pPr/>
      <w:r>
        <w:t xml:space="preserve">题目编号规则：</w:t>
      </w:r>
      <w:r>
        <w:rPr>
          <w:shd w:val="clear" w:color="auto" w:fill="F0F1F1"/>
        </w:rPr>
        <w:t xml:space="preserve">CS-&lt;NNN&gt;</w:t>
      </w:r>
      <w:r>
        <w:t xml:space="preserve">，NNN 为三位序号（如 CS-001）。编号须在目录名与 task.toml 的 [metadata].task_id 两处逐字一致。</w:t>
      </w:r>
    </w:p>
    <w:p>
      <w:bookmarkStart w:id="mtr6dx2tpijksnjz07" w:name="mtr6dx2tpijksnjz07"/>
      <w:pPr>
        <w:pStyle w:val="dingding-heading3"/>
      </w:pPr>
      <w:r>
        <w:t xml:space="preserve">3.2 task.toml 字段规范</w:t>
      </w:r>
      <w:bookmarkEnd w:id="mtr6dx2tpijksnjz07"/>
    </w:p>
    <w:p>
      <w:pPr/>
      <w:r>
        <w:t xml:space="preserve">task.toml 为 Harbor 1.4 标准配置文件：除下表的 Code Sense 元数据（写入 [metadata]）外，还须按采购版口径包含机械字段（schema_version = "1.4"、artifacts、[task]、[[task.authors]]、[agent]、[verifier]、[environment]）；UT 索引写入 [[metadata.ut_index]]（保留 turn / dimension / criterion_necessity / judge_type（统一为 unit_test）/ gating / evidence_required 语义，并以 ut_name 指向 tests/ 下具体测试方法）。下表列出 [metadata] 承载的 Code Sense 字段规范：</w:t>
      </w:r>
    </w:p>
    <w:tbl>
      <w:tblPr>
        <w:tblStyle w:val="tableHeader"/>
        <w:tblW w:w="0" w:type="pct"/>
        <w:tblLook w:firstRow="1" w:lastRow="0" w:firstColumn="0" w:lastColumn="0" w:noHBand="0" w:noVBand="0"/>
      </w:tblPr>
      <w:tblGrid>
        <w:gridCol w:w="3686"/>
        <w:gridCol w:w="3686"/>
        <w:gridCol w:w="3686"/>
        <w:gridCol w:w="3686"/>
      </w:tblGrid>
      <w:tr>
        <w:trPr>
          <w:trHeight w:val="0"/>
        </w:trPr>
        <w:tc>
          <w:tcPr>
            <w:tcW w:w="3686" w:type="dxa"/>
          </w:tcPr>
          <w:p>
            <w:pPr/>
            <w:r>
              <w:t xml:space="preserve">字段</w:t>
            </w:r>
          </w:p>
        </w:tc>
        <w:tc>
          <w:tcPr>
            <w:tcW w:w="3686" w:type="dxa"/>
          </w:tcPr>
          <w:p>
            <w:pPr/>
            <w:r>
              <w:t xml:space="preserve">必填</w:t>
            </w:r>
          </w:p>
        </w:tc>
        <w:tc>
          <w:tcPr>
            <w:tcW w:w="3686" w:type="dxa"/>
          </w:tcPr>
          <w:p>
            <w:pPr/>
            <w:r>
              <w:t xml:space="preserve">说明</w:t>
            </w:r>
          </w:p>
        </w:tc>
        <w:tc>
          <w:tcPr>
            <w:tcW w:w="3686" w:type="dxa"/>
          </w:tcPr>
          <w:p>
            <w:pPr/>
            <w:r>
              <w:t xml:space="preserve">约束</w:t>
            </w:r>
          </w:p>
        </w:tc>
      </w:tr>
      <w:tr>
        <w:trPr>
          <w:trHeight w:val="0"/>
        </w:trPr>
        <w:tc>
          <w:tcPr>
            <w:tcW w:w="3686" w:type="dxa"/>
          </w:tcPr>
          <w:p>
            <w:pPr/>
            <w:r>
              <w:t xml:space="preserve">id</w:t>
            </w:r>
          </w:p>
        </w:tc>
        <w:tc>
          <w:tcPr>
            <w:tcW w:w="3686" w:type="dxa"/>
          </w:tcPr>
          <w:p>
            <w:pPr/>
            <w:r>
              <w:t xml:space="preserve">是</w:t>
            </w:r>
          </w:p>
        </w:tc>
        <w:tc>
          <w:tcPr>
            <w:tcW w:w="3686" w:type="dxa"/>
          </w:tcPr>
          <w:p>
            <w:pPr/>
            <w:r>
              <w:t xml:space="preserve">题目唯一标识</w:t>
            </w:r>
          </w:p>
        </w:tc>
        <w:tc>
          <w:tcPr>
            <w:tcW w:w="3686" w:type="dxa"/>
          </w:tcPr>
          <w:p>
            <w:pPr/>
            <w:r>
              <w:t xml:space="preserve">与目录名一致，格式见 §3.1</w:t>
            </w:r>
          </w:p>
        </w:tc>
      </w:tr>
      <w:tr>
        <w:trPr>
          <w:trHeight w:val="0"/>
        </w:trPr>
        <w:tc>
          <w:tcPr>
            <w:tcW w:w="3686" w:type="dxa"/>
          </w:tcPr>
          <w:p>
            <w:pPr/>
            <w:r>
              <w:t xml:space="preserve">title</w:t>
            </w:r>
          </w:p>
        </w:tc>
        <w:tc>
          <w:tcPr>
            <w:tcW w:w="3686" w:type="dxa"/>
          </w:tcPr>
          <w:p>
            <w:pPr/>
            <w:r>
              <w:t xml:space="preserve">是</w:t>
            </w:r>
          </w:p>
        </w:tc>
        <w:tc>
          <w:tcPr>
            <w:tcW w:w="3686" w:type="dxa"/>
          </w:tcPr>
          <w:p>
            <w:pPr/>
            <w:r>
              <w:t xml:space="preserve">题目名称</w:t>
            </w:r>
          </w:p>
        </w:tc>
        <w:tc>
          <w:tcPr>
            <w:tcW w:w="3686" w:type="dxa"/>
          </w:tcPr>
          <w:p>
            <w:pPr/>
            <w:r>
              <w:t xml:space="preserve">简体中文，不得泄露陷阱名称</w:t>
            </w:r>
          </w:p>
        </w:tc>
      </w:tr>
      <w:tr>
        <w:trPr>
          <w:trHeight w:val="0"/>
        </w:trPr>
        <w:tc>
          <w:tcPr>
            <w:tcW w:w="3686" w:type="dxa"/>
          </w:tcPr>
          <w:p>
            <w:pPr/>
            <w:r>
              <w:t xml:space="preserve">platform</w:t>
            </w:r>
          </w:p>
        </w:tc>
        <w:tc>
          <w:tcPr>
            <w:tcW w:w="3686" w:type="dxa"/>
          </w:tcPr>
          <w:p>
            <w:pPr/>
            <w:r>
              <w:t xml:space="preserve">是</w:t>
            </w:r>
          </w:p>
        </w:tc>
        <w:tc>
          <w:tcPr>
            <w:tcW w:w="3686" w:type="dxa"/>
          </w:tcPr>
          <w:p>
            <w:pPr/>
            <w:r>
              <w:t xml:space="preserve">运行平台</w:t>
            </w:r>
          </w:p>
        </w:tc>
        <w:tc>
          <w:tcPr>
            <w:tcW w:w="3686" w:type="dxa"/>
          </w:tcPr>
          <w:p>
            <w:pPr/>
            <w:r>
              <w:t xml:space="preserve">如 linux/amd64；影响内存模型/并发行为的题必填</w:t>
            </w:r>
          </w:p>
        </w:tc>
      </w:tr>
      <w:tr>
        <w:trPr>
          <w:trHeight w:val="0"/>
        </w:trPr>
        <w:tc>
          <w:tcPr>
            <w:tcW w:w="3686" w:type="dxa"/>
          </w:tcPr>
          <w:p>
            <w:pPr/>
            <w:r>
              <w:t xml:space="preserve">objective</w:t>
            </w:r>
          </w:p>
        </w:tc>
        <w:tc>
          <w:tcPr>
            <w:tcW w:w="3686" w:type="dxa"/>
          </w:tcPr>
          <w:p>
            <w:pPr/>
            <w:r>
              <w:t xml:space="preserve">是</w:t>
            </w:r>
          </w:p>
        </w:tc>
        <w:tc>
          <w:tcPr>
            <w:tcW w:w="3686" w:type="dxa"/>
          </w:tcPr>
          <w:p>
            <w:pPr/>
            <w:r>
              <w:t xml:space="preserve">考察目标</w:t>
            </w:r>
          </w:p>
        </w:tc>
        <w:tc>
          <w:tcPr>
            <w:tcW w:w="3686" w:type="dxa"/>
          </w:tcPr>
          <w:p>
            <w:pPr/>
            <w:r>
              <w:t xml:space="preserve">一句话说明本题要证明模型具备什么理解</w:t>
            </w:r>
          </w:p>
        </w:tc>
      </w:tr>
      <w:tr>
        <w:trPr>
          <w:trHeight w:val="0"/>
        </w:trPr>
        <w:tc>
          <w:tcPr>
            <w:tcW w:w="3686" w:type="dxa"/>
          </w:tcPr>
          <w:p>
            <w:pPr/>
            <w:r>
              <w:t xml:space="preserve">focus_points</w:t>
            </w:r>
          </w:p>
        </w:tc>
        <w:tc>
          <w:tcPr>
            <w:tcW w:w="3686" w:type="dxa"/>
          </w:tcPr>
          <w:p>
            <w:pPr/>
            <w:r>
              <w:t xml:space="preserve">是</w:t>
            </w:r>
          </w:p>
        </w:tc>
        <w:tc>
          <w:tcPr>
            <w:tcW w:w="3686" w:type="dxa"/>
          </w:tcPr>
          <w:p>
            <w:pPr/>
            <w:r>
              <w:t xml:space="preserve">考察点</w:t>
            </w:r>
          </w:p>
        </w:tc>
        <w:tc>
          <w:tcPr>
            <w:tcW w:w="3686" w:type="dxa"/>
          </w:tcPr>
          <w:p>
            <w:pPr/>
            <w:r>
              <w:t xml:space="preserve">从 §2.4 选择部分（①②④⑥⑦）取 1–3 项</w:t>
            </w:r>
          </w:p>
        </w:tc>
      </w:tr>
      <w:tr>
        <w:trPr>
          <w:trHeight w:val="0"/>
        </w:trPr>
        <w:tc>
          <w:tcPr>
            <w:tcW w:w="3686" w:type="dxa"/>
          </w:tcPr>
          <w:p>
            <w:pPr/>
            <w:r>
              <w:t xml:space="preserve">trap_type</w:t>
            </w:r>
          </w:p>
        </w:tc>
        <w:tc>
          <w:tcPr>
            <w:tcW w:w="3686" w:type="dxa"/>
          </w:tcPr>
          <w:p>
            <w:pPr/>
            <w:r>
              <w:t xml:space="preserve">是</w:t>
            </w:r>
          </w:p>
        </w:tc>
        <w:tc>
          <w:tcPr>
            <w:tcW w:w="3686" w:type="dxa"/>
          </w:tcPr>
          <w:p>
            <w:pPr/>
            <w:r>
              <w:t xml:space="preserve">陷阱类型</w:t>
            </w:r>
          </w:p>
        </w:tc>
        <w:tc>
          <w:tcPr>
            <w:tcW w:w="3686" w:type="dxa"/>
          </w:tcPr>
          <w:p>
            <w:pPr/>
            <w:r>
              <w:t xml:space="preserve">取 §2.6 参考取值或经对齐的新增值</w:t>
            </w:r>
          </w:p>
        </w:tc>
      </w:tr>
      <w:tr>
        <w:trPr>
          <w:trHeight w:val="0"/>
        </w:trPr>
        <w:tc>
          <w:tcPr>
            <w:tcW w:w="3686" w:type="dxa"/>
          </w:tcPr>
          <w:p>
            <w:pPr/>
            <w:r>
              <w:t xml:space="preserve">badpatterns</w:t>
            </w:r>
          </w:p>
        </w:tc>
        <w:tc>
          <w:tcPr>
            <w:tcW w:w="3686" w:type="dxa"/>
          </w:tcPr>
          <w:p>
            <w:pPr/>
            <w:r>
              <w:t xml:space="preserve">是</w:t>
            </w:r>
          </w:p>
        </w:tc>
        <w:tc>
          <w:tcPr>
            <w:tcW w:w="3686" w:type="dxa"/>
          </w:tcPr>
          <w:p>
            <w:pPr/>
            <w:r>
              <w:t xml:space="preserve">预设 badpattern 清单</w:t>
            </w:r>
          </w:p>
        </w:tc>
        <w:tc>
          <w:tcPr>
            <w:tcW w:w="3686" w:type="dxa"/>
          </w:tcPr>
          <w:p>
            <w:pPr/>
            <w:r>
              <w:t xml:space="preserve">逐条给出模型典型错误行为及其可由 UT 断言判定的命中特征，与对应 UT（含 gating）逐条对应</w:t>
            </w:r>
          </w:p>
        </w:tc>
      </w:tr>
      <w:tr>
        <w:trPr>
          <w:trHeight w:val="0"/>
        </w:trPr>
        <w:tc>
          <w:tcPr>
            <w:tcW w:w="3686" w:type="dxa"/>
          </w:tcPr>
          <w:p>
            <w:pPr/>
            <w:r>
              <w:t xml:space="preserve">turns_count</w:t>
            </w:r>
          </w:p>
        </w:tc>
        <w:tc>
          <w:tcPr>
            <w:tcW w:w="3686" w:type="dxa"/>
          </w:tcPr>
          <w:p>
            <w:pPr/>
            <w:r>
              <w:t xml:space="preserve">是</w:t>
            </w:r>
          </w:p>
        </w:tc>
        <w:tc>
          <w:tcPr>
            <w:tcW w:w="3686" w:type="dxa"/>
          </w:tcPr>
          <w:p>
            <w:pPr/>
            <w:r>
              <w:t xml:space="preserve">轮次数</w:t>
            </w:r>
          </w:p>
        </w:tc>
        <w:tc>
          <w:tcPr>
            <w:tcW w:w="3686" w:type="dxa"/>
          </w:tcPr>
          <w:p>
            <w:pPr/>
            <w:r>
              <w:t xml:space="preserve">固定为 1（单轮）；多轮直接退回</w:t>
            </w:r>
          </w:p>
        </w:tc>
      </w:tr>
      <w:tr>
        <w:trPr>
          <w:trHeight w:val="0"/>
        </w:trPr>
        <w:tc>
          <w:tcPr>
            <w:tcW w:w="3686" w:type="dxa"/>
          </w:tcPr>
          <w:p>
            <w:pPr/>
            <w:r>
              <w:t xml:space="preserve">has_embedded_challenge</w:t>
            </w:r>
          </w:p>
        </w:tc>
        <w:tc>
          <w:tcPr>
            <w:tcW w:w="3686" w:type="dxa"/>
          </w:tcPr>
          <w:p>
            <w:pPr/>
            <w:r>
              <w:t xml:space="preserve">是</w:t>
            </w:r>
          </w:p>
        </w:tc>
        <w:tc>
          <w:tcPr>
            <w:tcW w:w="3686" w:type="dxa"/>
          </w:tcPr>
          <w:p>
            <w:pPr/>
            <w:r>
              <w:t xml:space="preserve">是否含内嵌挑战</w:t>
            </w:r>
          </w:p>
        </w:tc>
        <w:tc>
          <w:tcPr>
            <w:tcW w:w="3686" w:type="dxa"/>
          </w:tcPr>
          <w:p>
            <w:pPr/>
            <w:r>
              <w:t xml:space="preserve">布尔；为 true 时须指明挑战内容与所在位置</w:t>
            </w:r>
          </w:p>
        </w:tc>
      </w:tr>
      <w:tr>
        <w:trPr>
          <w:trHeight w:val="0"/>
        </w:trPr>
        <w:tc>
          <w:tcPr>
            <w:tcW w:w="3686" w:type="dxa"/>
          </w:tcPr>
          <w:p>
            <w:pPr/>
            <w:r>
              <w:t xml:space="preserve">challenge_premise_is_false</w:t>
            </w:r>
          </w:p>
        </w:tc>
        <w:tc>
          <w:tcPr>
            <w:tcW w:w="3686" w:type="dxa"/>
          </w:tcPr>
          <w:p>
            <w:pPr/>
            <w:r>
              <w:t xml:space="preserve">否</w:t>
            </w:r>
          </w:p>
        </w:tc>
        <w:tc>
          <w:tcPr>
            <w:tcW w:w="3686" w:type="dxa"/>
          </w:tcPr>
          <w:p>
            <w:pPr/>
            <w:r>
              <w:t xml:space="preserve">内嵌挑战前提是否为错</w:t>
            </w:r>
          </w:p>
        </w:tc>
        <w:tc>
          <w:tcPr>
            <w:tcW w:w="3686" w:type="dxa"/>
          </w:tcPr>
          <w:p>
            <w:pPr/>
            <w:r>
              <w:t xml:space="preserve">挑战为「错误前提」时填 true</w:t>
            </w:r>
          </w:p>
        </w:tc>
      </w:tr>
      <w:tr>
        <w:trPr>
          <w:trHeight w:val="0"/>
        </w:trPr>
        <w:tc>
          <w:tcPr>
            <w:tcW w:w="3686" w:type="dxa"/>
          </w:tcPr>
          <w:p>
            <w:pPr/>
            <w:r>
              <w:t xml:space="preserve">prompt</w:t>
            </w:r>
          </w:p>
        </w:tc>
        <w:tc>
          <w:tcPr>
            <w:tcW w:w="3686" w:type="dxa"/>
          </w:tcPr>
          <w:p>
            <w:pPr/>
            <w:r>
              <w:t xml:space="preserve">是</w:t>
            </w:r>
          </w:p>
        </w:tc>
        <w:tc>
          <w:tcPr>
            <w:tcW w:w="3686" w:type="dxa"/>
          </w:tcPr>
          <w:p>
            <w:pPr/>
            <w:r>
              <w:t xml:space="preserve">单轮 prompt</w:t>
            </w:r>
          </w:p>
        </w:tc>
        <w:tc>
          <w:tcPr>
            <w:tcW w:w="3686" w:type="dxa"/>
          </w:tcPr>
          <w:p>
            <w:pPr/>
            <w:r>
              <w:t xml:space="preserve">与 tests/turns/turns.json 内容一致（仅含一轮）</w:t>
            </w:r>
          </w:p>
        </w:tc>
      </w:tr>
      <w:tr>
        <w:trPr>
          <w:trHeight w:val="0"/>
        </w:trPr>
        <w:tc>
          <w:tcPr>
            <w:tcW w:w="3686" w:type="dxa"/>
          </w:tcPr>
          <w:p>
            <w:pPr/>
            <w:r>
              <w:t xml:space="preserve">ground_truth</w:t>
            </w:r>
          </w:p>
        </w:tc>
        <w:tc>
          <w:tcPr>
            <w:tcW w:w="3686" w:type="dxa"/>
          </w:tcPr>
          <w:p>
            <w:pPr/>
            <w:r>
              <w:t xml:space="preserve">是</w:t>
            </w:r>
          </w:p>
        </w:tc>
        <w:tc>
          <w:tcPr>
            <w:tcW w:w="3686" w:type="dxa"/>
          </w:tcPr>
          <w:p>
            <w:pPr/>
            <w:r>
              <w:t xml:space="preserve">参考答案与改动点</w:t>
            </w:r>
          </w:p>
        </w:tc>
        <w:tc>
          <w:tcPr>
            <w:tcW w:w="3686" w:type="dxa"/>
          </w:tcPr>
          <w:p>
            <w:pPr/>
            <w:r>
              <w:t xml:space="preserve">给出 reference_answer / change_points（改动点清单）/ equivalent_impls（功能等价实现）</w:t>
            </w:r>
          </w:p>
        </w:tc>
      </w:tr>
      <w:tr>
        <w:trPr>
          <w:trHeight w:val="0"/>
        </w:trPr>
        <w:tc>
          <w:tcPr>
            <w:tcW w:w="3686" w:type="dxa"/>
          </w:tcPr>
          <w:p>
            <w:pPr/>
            <w:r>
              <w:t xml:space="preserve">unit_tests</w:t>
            </w:r>
          </w:p>
        </w:tc>
        <w:tc>
          <w:tcPr>
            <w:tcW w:w="3686" w:type="dxa"/>
          </w:tcPr>
          <w:p>
            <w:pPr/>
            <w:r>
              <w:t xml:space="preserve">是</w:t>
            </w:r>
          </w:p>
        </w:tc>
        <w:tc>
          <w:tcPr>
            <w:tcW w:w="3686" w:type="dxa"/>
          </w:tcPr>
          <w:p>
            <w:pPr/>
            <w:r>
              <w:t xml:space="preserve">UT 索引</w:t>
            </w:r>
          </w:p>
        </w:tc>
        <w:tc>
          <w:tcPr>
            <w:tcW w:w="3686" w:type="dxa"/>
          </w:tcPr>
          <w:p>
            <w:pPr/>
            <w:r>
              <w:t xml:space="preserve">与 tests/ 下单元测试方法（test_*）集合完全一致；标注每个 UT 的 dimension / gating</w:t>
            </w:r>
          </w:p>
        </w:tc>
      </w:tr>
      <w:tr>
        <w:trPr>
          <w:trHeight w:val="0"/>
        </w:trPr>
        <w:tc>
          <w:tcPr>
            <w:tcW w:w="3686" w:type="dxa"/>
          </w:tcPr>
          <w:p>
            <w:pPr/>
            <w:r>
              <w:t xml:space="preserve">model_failure_modes</w:t>
            </w:r>
          </w:p>
        </w:tc>
        <w:tc>
          <w:tcPr>
            <w:tcW w:w="3686" w:type="dxa"/>
          </w:tcPr>
          <w:p>
            <w:pPr/>
            <w:r>
              <w:t xml:space="preserve">是</w:t>
            </w:r>
          </w:p>
        </w:tc>
        <w:tc>
          <w:tcPr>
            <w:tcW w:w="3686" w:type="dxa"/>
          </w:tcPr>
          <w:p>
            <w:pPr/>
            <w:r>
              <w:t xml:space="preserve">预期模型错误模式</w:t>
            </w:r>
          </w:p>
        </w:tc>
        <w:tc>
          <w:tcPr>
            <w:tcW w:w="3686" w:type="dxa"/>
          </w:tcPr>
          <w:p>
            <w:pPr/>
            <w:r>
              <w:t xml:space="preserve">≥３ 条，对应本题预设 badpattern，每条在 tests/assets/ 有真实答卷片段作证</w:t>
            </w:r>
          </w:p>
        </w:tc>
      </w:tr>
      <w:tr>
        <w:trPr>
          <w:trHeight w:val="0"/>
        </w:trPr>
        <w:tc>
          <w:tcPr>
            <w:tcW w:w="3686" w:type="dxa"/>
          </w:tcPr>
          <w:p>
            <w:pPr/>
            <w:r>
              <w:t xml:space="preserve">expert_design_notes</w:t>
            </w:r>
          </w:p>
        </w:tc>
        <w:tc>
          <w:tcPr>
            <w:tcW w:w="3686" w:type="dxa"/>
          </w:tcPr>
          <w:p>
            <w:pPr/>
            <w:r>
              <w:t xml:space="preserve">是</w:t>
            </w:r>
          </w:p>
        </w:tc>
        <w:tc>
          <w:tcPr>
            <w:tcW w:w="3686" w:type="dxa"/>
          </w:tcPr>
          <w:p>
            <w:pPr/>
            <w:r>
              <w:t xml:space="preserve">出题意图</w:t>
            </w:r>
          </w:p>
        </w:tc>
        <w:tc>
          <w:tcPr>
            <w:tcW w:w="3686" w:type="dxa"/>
          </w:tcPr>
          <w:p>
            <w:pPr/>
            <w:r>
              <w:t xml:space="preserve">含 intent / trap_design / boundary / 每个内嵌挑战的区分意图</w:t>
            </w:r>
          </w:p>
        </w:tc>
      </w:tr>
      <w:tr>
        <w:trPr>
          <w:trHeight w:val="0"/>
        </w:trPr>
        <w:tc>
          <w:tcPr>
            <w:tcW w:w="3686" w:type="dxa"/>
          </w:tcPr>
          <w:p>
            <w:pPr/>
            <w:r>
              <w:t xml:space="preserve">verification</w:t>
            </w:r>
          </w:p>
        </w:tc>
        <w:tc>
          <w:tcPr>
            <w:tcW w:w="3686" w:type="dxa"/>
          </w:tcPr>
          <w:p>
            <w:pPr/>
            <w:r>
              <w:t xml:space="preserve">是</w:t>
            </w:r>
          </w:p>
        </w:tc>
        <w:tc>
          <w:tcPr>
            <w:tcW w:w="3686" w:type="dxa"/>
          </w:tcPr>
          <w:p>
            <w:pPr/>
            <w:r>
              <w:t xml:space="preserve">判分方式声明</w:t>
            </w:r>
          </w:p>
        </w:tc>
        <w:tc>
          <w:tcPr>
            <w:tcW w:w="3686" w:type="dxa"/>
          </w:tcPr>
          <w:p>
            <w:pPr/>
            <w:r>
              <w:t xml:space="preserve">含 human_required（统一为 false）/ scoring_scripts（指向 tests/）/ ut_count（&gt; 20）/ test_is_sufficient（统一为 true，判分完全由 UT 决定）</w:t>
            </w:r>
          </w:p>
        </w:tc>
      </w:tr>
      <w:tr>
        <w:trPr>
          <w:trHeight w:val="0"/>
        </w:trPr>
        <w:tc>
          <w:tcPr>
            <w:tcW w:w="3686" w:type="dxa"/>
          </w:tcPr>
          <w:p>
            <w:pPr/>
            <w:r>
              <w:t xml:space="preserve">expert_minutes</w:t>
            </w:r>
          </w:p>
        </w:tc>
        <w:tc>
          <w:tcPr>
            <w:tcW w:w="3686" w:type="dxa"/>
          </w:tcPr>
          <w:p>
            <w:pPr/>
            <w:r>
              <w:t xml:space="preserve">是</w:t>
            </w:r>
          </w:p>
        </w:tc>
        <w:tc>
          <w:tcPr>
            <w:tcW w:w="3686" w:type="dxa"/>
          </w:tcPr>
          <w:p>
            <w:pPr/>
            <w:r>
              <w:t xml:space="preserve">专家耗时</w:t>
            </w:r>
          </w:p>
        </w:tc>
        <w:tc>
          <w:tcPr>
            <w:tcW w:w="3686" w:type="dxa"/>
          </w:tcPr>
          <w:p>
            <w:pPr/>
            <w:r>
              <w:t xml:space="preserve">熟悉该语言的资深工程师完成本题的分钟数</w:t>
            </w:r>
          </w:p>
        </w:tc>
      </w:tr>
      <w:tr>
        <w:trPr>
          <w:trHeight w:val="0"/>
        </w:trPr>
        <w:tc>
          <w:tcPr>
            <w:tcW w:w="3686" w:type="dxa"/>
          </w:tcPr>
          <w:p>
            <w:pPr/>
            <w:r>
              <w:t xml:space="preserve">source_note</w:t>
            </w:r>
          </w:p>
        </w:tc>
        <w:tc>
          <w:tcPr>
            <w:tcW w:w="3686" w:type="dxa"/>
          </w:tcPr>
          <w:p>
            <w:pPr/>
            <w:r>
              <w:t xml:space="preserve">是</w:t>
            </w:r>
          </w:p>
        </w:tc>
        <w:tc>
          <w:tcPr>
            <w:tcW w:w="3686" w:type="dxa"/>
          </w:tcPr>
          <w:p>
            <w:pPr/>
            <w:r>
              <w:t xml:space="preserve">来源说明</w:t>
            </w:r>
          </w:p>
        </w:tc>
        <w:tc>
          <w:tcPr>
            <w:tcW w:w="3686" w:type="dxa"/>
          </w:tcPr>
          <w:p>
            <w:pPr/>
            <w:r>
              <w:t xml:space="preserve">为什么选这段代码、真实性如何保障、是否有 issue/PR/提交溯源</w:t>
            </w:r>
          </w:p>
        </w:tc>
      </w:tr>
      <w:tr>
        <w:trPr>
          <w:trHeight w:val="0"/>
        </w:trPr>
        <w:tc>
          <w:tcPr>
            <w:tcW w:w="3686" w:type="dxa"/>
          </w:tcPr>
          <w:p>
            <w:pPr/>
            <w:r>
              <w:t xml:space="preserve">code_origin</w:t>
            </w:r>
          </w:p>
        </w:tc>
        <w:tc>
          <w:tcPr>
            <w:tcW w:w="3686" w:type="dxa"/>
          </w:tcPr>
          <w:p>
            <w:pPr/>
            <w:r>
              <w:t xml:space="preserve">是</w:t>
            </w:r>
          </w:p>
        </w:tc>
        <w:tc>
          <w:tcPr>
            <w:tcW w:w="3686" w:type="dxa"/>
          </w:tcPr>
          <w:p>
            <w:pPr/>
            <w:r>
              <w:t xml:space="preserve">代码来源</w:t>
            </w:r>
          </w:p>
        </w:tc>
        <w:tc>
          <w:tcPr>
            <w:tcW w:w="3686" w:type="dxa"/>
          </w:tcPr>
          <w:p>
            <w:pPr/>
            <w:r>
              <w:t xml:space="preserve">internal / opensource / authored（自撛）</w:t>
            </w:r>
          </w:p>
        </w:tc>
      </w:tr>
      <w:tr>
        <w:trPr>
          <w:trHeight w:val="0"/>
        </w:trPr>
        <w:tc>
          <w:tcPr>
            <w:tcW w:w="3686" w:type="dxa"/>
          </w:tcPr>
          <w:p>
            <w:pPr/>
            <w:r>
              <w:t xml:space="preserve">code_license</w:t>
            </w:r>
          </w:p>
        </w:tc>
        <w:tc>
          <w:tcPr>
            <w:tcW w:w="3686" w:type="dxa"/>
          </w:tcPr>
          <w:p>
            <w:pPr/>
            <w:r>
              <w:t xml:space="preserve">是</w:t>
            </w:r>
          </w:p>
        </w:tc>
        <w:tc>
          <w:tcPr>
            <w:tcW w:w="3686" w:type="dxa"/>
          </w:tcPr>
          <w:p>
            <w:pPr/>
            <w:r>
              <w:t xml:space="preserve">许可证</w:t>
            </w:r>
          </w:p>
        </w:tc>
        <w:tc>
          <w:tcPr>
            <w:tcW w:w="3686" w:type="dxa"/>
          </w:tcPr>
          <w:p>
            <w:pPr/>
            <w:r>
              <w:t xml:space="preserve">开源填 SPDX 标识；internal 填 internal；authored 填 authored</w:t>
            </w:r>
          </w:p>
        </w:tc>
      </w:tr>
      <w:tr>
        <w:trPr>
          <w:trHeight w:val="0"/>
        </w:trPr>
        <w:tc>
          <w:tcPr>
            <w:tcW w:w="3686" w:type="dxa"/>
          </w:tcPr>
          <w:p>
            <w:pPr/>
            <w:r>
              <w:t xml:space="preserve">expected_pass_rate</w:t>
            </w:r>
          </w:p>
        </w:tc>
        <w:tc>
          <w:tcPr>
            <w:tcW w:w="3686" w:type="dxa"/>
          </w:tcPr>
          <w:p>
            <w:pPr/>
            <w:r>
              <w:t xml:space="preserve">否</w:t>
            </w:r>
          </w:p>
        </w:tc>
        <w:tc>
          <w:tcPr>
            <w:tcW w:w="3686" w:type="dxa"/>
          </w:tcPr>
          <w:p>
            <w:pPr/>
            <w:r>
              <w:t xml:space="preserve">目标模型通过率预估</w:t>
            </w:r>
          </w:p>
        </w:tc>
        <w:tc>
          <w:tcPr>
            <w:tcW w:w="3686" w:type="dxa"/>
          </w:tcPr>
          <w:p>
            <w:pPr/>
            <w:r>
              <w:t xml:space="preserve">0~1</w:t>
            </w:r>
          </w:p>
        </w:tc>
      </w:tr>
      <w:tr>
        <w:trPr>
          <w:trHeight w:val="0"/>
        </w:trPr>
        <w:tc>
          <w:tcPr>
            <w:tcW w:w="3686" w:type="dxa"/>
          </w:tcPr>
          <w:p>
            <w:pPr/>
            <w:r>
              <w:t xml:space="preserve">version</w:t>
            </w:r>
          </w:p>
        </w:tc>
        <w:tc>
          <w:tcPr>
            <w:tcW w:w="3686" w:type="dxa"/>
          </w:tcPr>
          <w:p>
            <w:pPr/>
            <w:r>
              <w:t xml:space="preserve">是</w:t>
            </w:r>
          </w:p>
        </w:tc>
        <w:tc>
          <w:tcPr>
            <w:tcW w:w="3686" w:type="dxa"/>
          </w:tcPr>
          <w:p>
            <w:pPr/>
            <w:r>
              <w:t xml:space="preserve">题目版本</w:t>
            </w:r>
          </w:p>
        </w:tc>
        <w:tc>
          <w:tcPr>
            <w:tcW w:w="3686" w:type="dxa"/>
          </w:tcPr>
          <w:p>
            <w:pPr/>
            <w:r>
              <w:t xml:space="preserve">语义化版本，返修递增补丁号</w:t>
            </w:r>
          </w:p>
        </w:tc>
      </w:tr>
      <w:tr>
        <w:trPr>
          <w:trHeight w:val="0"/>
        </w:trPr>
        <w:tc>
          <w:tcPr>
            <w:tcW w:w="3686" w:type="dxa"/>
          </w:tcPr>
          <w:p>
            <w:pPr/>
            <w:r>
              <w:t xml:space="preserve">author</w:t>
            </w:r>
          </w:p>
        </w:tc>
        <w:tc>
          <w:tcPr>
            <w:tcW w:w="3686" w:type="dxa"/>
          </w:tcPr>
          <w:p>
            <w:pPr/>
            <w:r>
              <w:t xml:space="preserve">是</w:t>
            </w:r>
          </w:p>
        </w:tc>
        <w:tc>
          <w:tcPr>
            <w:tcW w:w="3686" w:type="dxa"/>
          </w:tcPr>
          <w:p>
            <w:pPr/>
            <w:r>
              <w:t xml:space="preserve">供应商代号</w:t>
            </w:r>
          </w:p>
        </w:tc>
        <w:tc>
          <w:tcPr>
            <w:tcW w:w="3686" w:type="dxa"/>
          </w:tcPr>
          <w:p>
            <w:pPr/>
            <w:r>
              <w:t xml:space="preserve">全批次固定，返修沿用</w:t>
            </w:r>
          </w:p>
        </w:tc>
      </w:tr>
    </w:tbl>
    <w:p>
      <w:pPr/>
      <w:r>
        <w:rPr>
          <w:b w:val="1"/>
        </w:rPr>
        <w:t xml:space="preserve">许可证约束</w:t>
      </w:r>
      <w:r>
        <w:t xml:space="preserve">：开源代码必须为宽松许可（MIT / Apache-2.0 / BSD 系）并在 </w:t>
      </w:r>
      <w:r>
        <w:rPr>
          <w:shd w:val="clear" w:color="auto" w:fill="F0F1F1"/>
        </w:rPr>
        <w:t xml:space="preserve">code_license</w:t>
      </w:r>
      <w:r>
        <w:t xml:space="preserve"> 声明；</w:t>
      </w:r>
      <w:r>
        <w:rPr>
          <w:b w:val="1"/>
        </w:rPr>
        <w:t xml:space="preserve">GPL/AGPL 系与无许可证代码不收</w:t>
      </w:r>
      <w:r>
        <w:t xml:space="preserve">。内部代码须有授权记录，并完成脱敏（去除真实凭证、内部主机名、员工信息）。</w:t>
      </w:r>
      <w:r>
        <w:rPr>
          <w:shd w:val="clear" w:color="auto" w:fill="F0F1F1"/>
        </w:rPr>
        <w:t xml:space="preserve">authored</w:t>
      </w:r>
      <w:r>
        <w:t xml:space="preserve"> 类自撰代码须在 </w:t>
      </w:r>
      <w:r>
        <w:rPr>
          <w:shd w:val="clear" w:color="auto" w:fill="F0F1F1"/>
        </w:rPr>
        <w:t xml:space="preserve">source_note</w:t>
      </w:r>
      <w:r>
        <w:t xml:space="preserve"> 中说明其映射的真实工程场景，不接受为凑数编造的玩具代码。</w:t>
      </w:r>
    </w:p>
    <w:p>
      <w:bookmarkStart w:id="mtr6dx2vkph3pnc3da" w:name="mtr6dx2vkph3pnc3da"/>
      <w:pPr>
        <w:pStyle w:val="dingding-heading3"/>
      </w:pPr>
      <w:r>
        <w:t xml:space="preserve">3.3 单元测试（UT）规范</w:t>
      </w:r>
      <w:bookmarkEnd w:id="mtr6dx2vkph3pnc3da"/>
    </w:p>
    <w:p>
      <w:bookmarkStart w:id="mtr6dx2wrcm3o8ag6fg" w:name="mtr6dx2wrcm3o8ag6fg"/>
      <w:pPr>
        <w:pStyle w:val="dingding-heading4"/>
      </w:pPr>
      <w:r>
        <w:t xml:space="preserve">3.3.1 UT 方法字段与格式</w:t>
      </w:r>
      <w:bookmarkEnd w:id="mtr6dx2wrcm3o8ag6fg"/>
    </w:p>
    <w:p>
      <w:pPr/>
      <w:r>
        <w:t xml:space="preserve">tests/ 下每个单元测试方法（test_*）须在 [[metadata.ut_index]] 登记以下字段：</w:t>
      </w:r>
    </w:p>
    <w:tbl>
      <w:tblPr>
        <w:tblStyle w:val="tableHeader"/>
        <w:tblW w:w="0" w:type="pct"/>
        <w:tblLook w:firstRow="1" w:lastRow="0" w:firstColumn="0" w:lastColumn="0" w:noHBand="0" w:noVBand="0"/>
      </w:tblPr>
      <w:tblGrid>
        <w:gridCol w:w="4910"/>
        <w:gridCol w:w="4910"/>
        <w:gridCol w:w="4924"/>
      </w:tblGrid>
      <w:tr>
        <w:trPr>
          <w:trHeight w:val="0"/>
        </w:trPr>
        <w:tc>
          <w:tcPr>
            <w:tcW w:w="4910" w:type="dxa"/>
          </w:tcPr>
          <w:p>
            <w:pPr/>
            <w:r>
              <w:t xml:space="preserve">字段</w:t>
            </w:r>
          </w:p>
        </w:tc>
        <w:tc>
          <w:tcPr>
            <w:tcW w:w="4910" w:type="dxa"/>
          </w:tcPr>
          <w:p>
            <w:pPr/>
            <w:r>
              <w:t xml:space="preserve">必填</w:t>
            </w:r>
          </w:p>
        </w:tc>
        <w:tc>
          <w:tcPr>
            <w:tcW w:w="4924" w:type="dxa"/>
          </w:tcPr>
          <w:p>
            <w:pPr/>
            <w:r>
              <w:t xml:space="preserve">说明</w:t>
            </w:r>
          </w:p>
        </w:tc>
      </w:tr>
      <w:tr>
        <w:trPr>
          <w:trHeight w:val="0"/>
        </w:trPr>
        <w:tc>
          <w:tcPr>
            <w:tcW w:w="4910" w:type="dxa"/>
          </w:tcPr>
          <w:p>
            <w:pPr/>
            <w:r>
              <w:t xml:space="preserve">id</w:t>
            </w:r>
          </w:p>
        </w:tc>
        <w:tc>
          <w:tcPr>
            <w:tcW w:w="4910" w:type="dxa"/>
          </w:tcPr>
          <w:p>
            <w:pPr/>
            <w:r>
              <w:t xml:space="preserve">是</w:t>
            </w:r>
          </w:p>
        </w:tc>
        <w:tc>
          <w:tcPr>
            <w:tcW w:w="4924" w:type="dxa"/>
          </w:tcPr>
          <w:p>
            <w:pPr/>
            <w:r>
              <w:t xml:space="preserve">UT 编号 U1、U2…；gating 项 G1、G2…。题内唯一，与 task.toml 的 [[metadata.ut_index]] 一一对应</w:t>
            </w:r>
          </w:p>
        </w:tc>
      </w:tr>
      <w:tr>
        <w:trPr>
          <w:trHeight w:val="0"/>
        </w:trPr>
        <w:tc>
          <w:tcPr>
            <w:tcW w:w="4910" w:type="dxa"/>
          </w:tcPr>
          <w:p>
            <w:pPr/>
            <w:r>
              <w:t xml:space="preserve">ut_name</w:t>
            </w:r>
          </w:p>
        </w:tc>
        <w:tc>
          <w:tcPr>
            <w:tcW w:w="4910" w:type="dxa"/>
          </w:tcPr>
          <w:p>
            <w:pPr/>
            <w:r>
              <w:t xml:space="preserve">是</w:t>
            </w:r>
          </w:p>
        </w:tc>
        <w:tc>
          <w:tcPr>
            <w:tcW w:w="4924" w:type="dxa"/>
          </w:tcPr>
          <w:p>
            <w:pPr/>
            <w:r>
              <w:t xml:space="preserve">tests/ 下具体测试方法名（test_*），与脚本中函数名逐字一致</w:t>
            </w:r>
          </w:p>
        </w:tc>
      </w:tr>
      <w:tr>
        <w:trPr>
          <w:trHeight w:val="0"/>
        </w:trPr>
        <w:tc>
          <w:tcPr>
            <w:tcW w:w="4910" w:type="dxa"/>
          </w:tcPr>
          <w:p>
            <w:pPr/>
            <w:r>
              <w:t xml:space="preserve">turn</w:t>
            </w:r>
          </w:p>
        </w:tc>
        <w:tc>
          <w:tcPr>
            <w:tcW w:w="4910" w:type="dxa"/>
          </w:tcPr>
          <w:p>
            <w:pPr/>
            <w:r>
              <w:t xml:space="preserve">是</w:t>
            </w:r>
          </w:p>
        </w:tc>
        <w:tc>
          <w:tcPr>
            <w:tcW w:w="4924" w:type="dxa"/>
          </w:tcPr>
          <w:p>
            <w:pPr/>
            <w:r>
              <w:t xml:space="preserve">该 UT 校验的作答范围。单轮题填 turn1；跨内容综合校验填 all</w:t>
            </w:r>
          </w:p>
        </w:tc>
      </w:tr>
      <w:tr>
        <w:trPr>
          <w:trHeight w:val="0"/>
        </w:trPr>
        <w:tc>
          <w:tcPr>
            <w:tcW w:w="4910" w:type="dxa"/>
          </w:tcPr>
          <w:p>
            <w:pPr/>
            <w:r>
              <w:t xml:space="preserve">dimension</w:t>
            </w:r>
          </w:p>
        </w:tc>
        <w:tc>
          <w:tcPr>
            <w:tcW w:w="4910" w:type="dxa"/>
          </w:tcPr>
          <w:p>
            <w:pPr/>
            <w:r>
              <w:t xml:space="preserve">是</w:t>
            </w:r>
          </w:p>
        </w:tc>
        <w:tc>
          <w:tcPr>
            <w:tcW w:w="4924" w:type="dxa"/>
          </w:tcPr>
          <w:p>
            <w:pPr/>
            <w:r>
              <w:t xml:space="preserve">取值见 §3.3.3</w:t>
            </w:r>
          </w:p>
        </w:tc>
      </w:tr>
      <w:tr>
        <w:trPr>
          <w:trHeight w:val="0"/>
        </w:trPr>
        <w:tc>
          <w:tcPr>
            <w:tcW w:w="4910" w:type="dxa"/>
          </w:tcPr>
          <w:p>
            <w:pPr/>
            <w:r>
              <w:t xml:space="preserve">description</w:t>
            </w:r>
          </w:p>
        </w:tc>
        <w:tc>
          <w:tcPr>
            <w:tcW w:w="4910" w:type="dxa"/>
          </w:tcPr>
          <w:p>
            <w:pPr/>
            <w:r>
              <w:t xml:space="preserve">是</w:t>
            </w:r>
          </w:p>
        </w:tc>
        <w:tc>
          <w:tcPr>
            <w:tcW w:w="4924" w:type="dxa"/>
          </w:tcPr>
          <w:p>
            <w:pPr/>
            <w:r>
              <w:t xml:space="preserve">具体、原子、可由运行断言校验的判定标准</w:t>
            </w:r>
          </w:p>
        </w:tc>
      </w:tr>
      <w:tr>
        <w:trPr>
          <w:trHeight w:val="0"/>
        </w:trPr>
        <w:tc>
          <w:tcPr>
            <w:tcW w:w="4910" w:type="dxa"/>
          </w:tcPr>
          <w:p>
            <w:pPr/>
            <w:r>
              <w:t xml:space="preserve">criterion_necessity</w:t>
            </w:r>
          </w:p>
        </w:tc>
        <w:tc>
          <w:tcPr>
            <w:tcW w:w="4910" w:type="dxa"/>
          </w:tcPr>
          <w:p>
            <w:pPr/>
            <w:r>
              <w:t xml:space="preserve">是</w:t>
            </w:r>
          </w:p>
        </w:tc>
        <w:tc>
          <w:tcPr>
            <w:tcW w:w="4924" w:type="dxa"/>
          </w:tcPr>
          <w:p>
            <w:pPr/>
            <w:r>
              <w:t xml:space="preserve">Explicit（prompt 中逐字明文要求）/ Implicit（未明说但必然推导得出）</w:t>
            </w:r>
          </w:p>
        </w:tc>
      </w:tr>
      <w:tr>
        <w:trPr>
          <w:trHeight w:val="0"/>
        </w:trPr>
        <w:tc>
          <w:tcPr>
            <w:tcW w:w="4910" w:type="dxa"/>
          </w:tcPr>
          <w:p>
            <w:pPr/>
            <w:r>
              <w:t xml:space="preserve">judge_type</w:t>
            </w:r>
          </w:p>
        </w:tc>
        <w:tc>
          <w:tcPr>
            <w:tcW w:w="4910" w:type="dxa"/>
          </w:tcPr>
          <w:p>
            <w:pPr/>
            <w:r>
              <w:t xml:space="preserve">是</w:t>
            </w:r>
          </w:p>
        </w:tc>
        <w:tc>
          <w:tcPr>
            <w:tcW w:w="4924" w:type="dxa"/>
          </w:tcPr>
          <w:p>
            <w:pPr/>
            <w:r>
              <w:t xml:space="preserve">统一为 unit_test（运行测试断言）；全程不使用 llm_judge / human_audit / hybrid</w:t>
            </w:r>
          </w:p>
        </w:tc>
      </w:tr>
      <w:tr>
        <w:trPr>
          <w:trHeight w:val="0"/>
        </w:trPr>
        <w:tc>
          <w:tcPr>
            <w:tcW w:w="4910" w:type="dxa"/>
          </w:tcPr>
          <w:p>
            <w:pPr/>
            <w:r>
              <w:t xml:space="preserve">gating</w:t>
            </w:r>
          </w:p>
        </w:tc>
        <w:tc>
          <w:tcPr>
            <w:tcW w:w="4910" w:type="dxa"/>
          </w:tcPr>
          <w:p>
            <w:pPr/>
            <w:r>
              <w:t xml:space="preserve">是</w:t>
            </w:r>
          </w:p>
        </w:tc>
        <w:tc>
          <w:tcPr>
            <w:tcW w:w="4924" w:type="dxa"/>
          </w:tcPr>
          <w:p>
            <w:pPr/>
            <w:r>
              <w:t xml:space="preserve">true = 关键 UT，失败即一票否决（最终分归零）；false = 计入通过率</w:t>
            </w:r>
          </w:p>
        </w:tc>
      </w:tr>
      <w:tr>
        <w:trPr>
          <w:trHeight w:val="0"/>
        </w:trPr>
        <w:tc>
          <w:tcPr>
            <w:tcW w:w="4910" w:type="dxa"/>
          </w:tcPr>
          <w:p>
            <w:pPr/>
            <w:r>
              <w:t xml:space="preserve">targets_badpattern</w:t>
            </w:r>
          </w:p>
        </w:tc>
        <w:tc>
          <w:tcPr>
            <w:tcW w:w="4910" w:type="dxa"/>
          </w:tcPr>
          <w:p>
            <w:pPr/>
            <w:r>
              <w:t xml:space="preserve">否</w:t>
            </w:r>
          </w:p>
        </w:tc>
        <w:tc>
          <w:tcPr>
            <w:tcW w:w="4924" w:type="dxa"/>
          </w:tcPr>
          <w:p>
            <w:pPr/>
            <w:r>
              <w:t xml:space="preserve">该 UT 是否针对预设 badpattern 改动点；为 true 时须对应 model_failure_modes</w:t>
            </w:r>
          </w:p>
        </w:tc>
      </w:tr>
      <w:tr>
        <w:trPr>
          <w:trHeight w:val="0"/>
        </w:trPr>
        <w:tc>
          <w:tcPr>
            <w:tcW w:w="4910" w:type="dxa"/>
          </w:tcPr>
          <w:p>
            <w:pPr/>
            <w:r>
              <w:t xml:space="preserve">evidence_required</w:t>
            </w:r>
          </w:p>
        </w:tc>
        <w:tc>
          <w:tcPr>
            <w:tcW w:w="4910" w:type="dxa"/>
          </w:tcPr>
          <w:p>
            <w:pPr/>
            <w:r>
              <w:t xml:space="preserve">是</w:t>
            </w:r>
          </w:p>
        </w:tc>
        <w:tc>
          <w:tcPr>
            <w:tcW w:w="4924" w:type="dxa"/>
          </w:tcPr>
          <w:p>
            <w:pPr/>
            <w:r>
              <w:t xml:space="preserve">判分时依赖的具体运行证据形式与提取方法，见 §3.3.4</w:t>
            </w:r>
          </w:p>
        </w:tc>
      </w:tr>
    </w:tbl>
    <w:p>
      <w:bookmarkStart w:id="mtr6dx2zqth72t2zou" w:name="mtr6dx2zqth72t2zou"/>
      <w:pPr>
        <w:pStyle w:val="dingding-heading4"/>
      </w:pPr>
      <w:r>
        <w:t xml:space="preserve">3.3.2 数值约束</w:t>
      </w:r>
      <w:bookmarkEnd w:id="mtr6dx2zqth72t2zou"/>
    </w:p>
    <w:tbl>
      <w:tblPr>
        <w:tblStyle w:val="tableHeader"/>
        <w:tblW w:w="0" w:type="pct"/>
        <w:tblLook w:firstRow="1" w:lastRow="0" w:firstColumn="0" w:lastColumn="0" w:noHBand="0" w:noVBand="0"/>
      </w:tblPr>
      <w:tblGrid>
        <w:gridCol w:w="7372"/>
        <w:gridCol w:w="7372"/>
      </w:tblGrid>
      <w:tr>
        <w:trPr>
          <w:trHeight w:val="0"/>
        </w:trPr>
        <w:tc>
          <w:tcPr>
            <w:tcW w:w="7372" w:type="dxa"/>
          </w:tcPr>
          <w:p>
            <w:pPr/>
            <w:r>
              <w:t xml:space="preserve">#</w:t>
            </w:r>
          </w:p>
        </w:tc>
        <w:tc>
          <w:tcPr>
            <w:tcW w:w="7372" w:type="dxa"/>
          </w:tcPr>
          <w:p>
            <w:pPr/>
            <w:r>
              <w:t xml:space="preserve">要求</w:t>
            </w:r>
          </w:p>
        </w:tc>
      </w:tr>
      <w:tr>
        <w:trPr>
          <w:trHeight w:val="0"/>
        </w:trPr>
        <w:tc>
          <w:tcPr>
            <w:tcW w:w="7372" w:type="dxa"/>
          </w:tcPr>
          <w:p>
            <w:pPr/>
            <w:r>
              <w:t xml:space="preserve">1</w:t>
            </w:r>
          </w:p>
        </w:tc>
        <w:tc>
          <w:tcPr>
            <w:tcW w:w="7372" w:type="dxa"/>
          </w:tcPr>
          <w:p>
            <w:pPr/>
            <w:r>
              <w:rPr>
                <w:b w:val="1"/>
              </w:rPr>
              <w:t xml:space="preserve">方法数下限</w:t>
            </w:r>
            <w:r>
              <w:t xml:space="preserve">：每题单元测试方法（test_*）</w:t>
            </w:r>
            <w:r>
              <w:rPr>
                <w:b w:val="1"/>
              </w:rPr>
              <w:t xml:space="preserve">&gt; 20（即 ≥ 21）</w:t>
            </w:r>
          </w:p>
        </w:tc>
      </w:tr>
      <w:tr>
        <w:trPr>
          <w:trHeight w:val="0"/>
        </w:trPr>
        <w:tc>
          <w:tcPr>
            <w:tcW w:w="7372" w:type="dxa"/>
          </w:tcPr>
          <w:p>
            <w:pPr/>
            <w:r>
              <w:t xml:space="preserve">2</w:t>
            </w:r>
          </w:p>
        </w:tc>
        <w:tc>
          <w:tcPr>
            <w:tcW w:w="7372" w:type="dxa"/>
          </w:tcPr>
          <w:p>
            <w:pPr/>
            <w:r>
              <w:rPr>
                <w:b w:val="1"/>
              </w:rPr>
              <w:t xml:space="preserve">badpattern 锚点</w:t>
            </w:r>
            <w:r>
              <w:t xml:space="preserve">：针对本题预设 badpattern 改动点的 UT（</w:t>
            </w:r>
            <w:r>
              <w:rPr>
                <w:shd w:val="clear" w:color="auto" w:fill="F0F1F1"/>
              </w:rPr>
              <w:t xml:space="preserve">targets_badpattern = true</w:t>
            </w:r>
            <w:r>
              <w:t xml:space="preserve">，含 gating）每题 </w:t>
            </w:r>
            <w:r>
              <w:rPr>
                <w:b w:val="1"/>
              </w:rPr>
              <w:t xml:space="preserve">≥ 2 条</w:t>
            </w:r>
            <w:r>
              <w:t xml:space="preserve">，且覆盖 </w:t>
            </w:r>
            <w:r>
              <w:rPr>
                <w:shd w:val="clear" w:color="auto" w:fill="F0F1F1"/>
              </w:rPr>
              <w:t xml:space="preserve">model_failure_modes</w:t>
            </w:r>
            <w:r>
              <w:t xml:space="preserve"> 中的主要 badpattern。命中判定压在「模型改动后代码是否实际产生 badpattern」上，而非题面是否包含 badpattern 命题</w:t>
            </w:r>
          </w:p>
        </w:tc>
      </w:tr>
      <w:tr>
        <w:trPr>
          <w:trHeight w:val="0"/>
        </w:trPr>
        <w:tc>
          <w:tcPr>
            <w:tcW w:w="7372" w:type="dxa"/>
          </w:tcPr>
          <w:p>
            <w:pPr/>
            <w:r>
              <w:t xml:space="preserve">3</w:t>
            </w:r>
          </w:p>
        </w:tc>
        <w:tc>
          <w:tcPr>
            <w:tcW w:w="7372" w:type="dxa"/>
          </w:tcPr>
          <w:p>
            <w:pPr/>
            <w:r>
              <w:rPr>
                <w:b w:val="1"/>
              </w:rPr>
              <w:t xml:space="preserve">覆盖完备</w:t>
            </w:r>
            <w:r>
              <w:t xml:space="preserve">：badpattern「改一查十」的</w:t>
            </w:r>
            <w:r>
              <w:rPr>
                <w:b w:val="1"/>
              </w:rPr>
              <w:t xml:space="preserve">每处下游/相关改动点至少各有 1 个 UT</w:t>
            </w:r>
            <w:r>
              <w:t xml:space="preserve">；漏改任一点即有对应 UT 失败</w:t>
            </w:r>
          </w:p>
        </w:tc>
      </w:tr>
      <w:tr>
        <w:trPr>
          <w:trHeight w:val="0"/>
        </w:trPr>
        <w:tc>
          <w:tcPr>
            <w:tcW w:w="7372" w:type="dxa"/>
          </w:tcPr>
          <w:p>
            <w:pPr/>
            <w:r>
              <w:t xml:space="preserve">4</w:t>
            </w:r>
          </w:p>
        </w:tc>
        <w:tc>
          <w:tcPr>
            <w:tcW w:w="7372" w:type="dxa"/>
          </w:tcPr>
          <w:p>
            <w:pPr/>
            <w:r>
              <w:rPr>
                <w:b w:val="1"/>
              </w:rPr>
              <w:t xml:space="preserve">gating 数量</w:t>
            </w:r>
            <w:r>
              <w:t xml:space="preserve">：每题 gating UT </w:t>
            </w:r>
            <w:r>
              <w:rPr>
                <w:b w:val="1"/>
              </w:rPr>
              <w:t xml:space="preserve">≥ 1 条、≤ 3 条</w:t>
            </w:r>
            <w:r>
              <w:t xml:space="preserve">。仅用于致命 badpattern（如「无锁单层检查并坠实线程安全」对应的行为），不得滥用</w:t>
            </w:r>
          </w:p>
        </w:tc>
      </w:tr>
      <w:tr>
        <w:trPr>
          <w:trHeight w:val="0"/>
        </w:trPr>
        <w:tc>
          <w:tcPr>
            <w:tcW w:w="7372" w:type="dxa"/>
          </w:tcPr>
          <w:p>
            <w:pPr/>
            <w:r>
              <w:t xml:space="preserve">5</w:t>
            </w:r>
          </w:p>
        </w:tc>
        <w:tc>
          <w:tcPr>
            <w:tcW w:w="7372" w:type="dxa"/>
          </w:tcPr>
          <w:p>
            <w:pPr/>
            <w:r>
              <w:rPr>
                <w:b w:val="1"/>
              </w:rPr>
              <w:t xml:space="preserve">结果导向</w:t>
            </w:r>
            <w:r>
              <w:t xml:space="preserve">：主分 = 通过 UT 数 / UT 总数（通过率）；不设过程分/结果分权重区分，不引入 weight</w:t>
            </w:r>
          </w:p>
        </w:tc>
      </w:tr>
      <w:tr>
        <w:trPr>
          <w:trHeight w:val="0"/>
        </w:trPr>
        <w:tc>
          <w:tcPr>
            <w:tcW w:w="7372" w:type="dxa"/>
          </w:tcPr>
          <w:p>
            <w:pPr/>
            <w:r>
              <w:t xml:space="preserve">6</w:t>
            </w:r>
          </w:p>
        </w:tc>
        <w:tc>
          <w:tcPr>
            <w:tcW w:w="7372" w:type="dxa"/>
          </w:tcPr>
          <w:p>
            <w:pPr/>
            <w:r>
              <w:rPr>
                <w:b w:val="1"/>
              </w:rPr>
              <w:t xml:space="preserve">不接受注水</w:t>
            </w:r>
            <w:r>
              <w:t xml:space="preserve">：不得用大量平凡断言（如仅校验语法/导入成功）拉高 UT 总数、稀释 badpattern UT 占比</w:t>
            </w:r>
          </w:p>
        </w:tc>
      </w:tr>
      <w:tr>
        <w:trPr>
          <w:trHeight w:val="0"/>
        </w:trPr>
        <w:tc>
          <w:tcPr>
            <w:tcW w:w="7372" w:type="dxa"/>
          </w:tcPr>
          <w:p>
            <w:pPr/>
            <w:r>
              <w:t xml:space="preserve">7</w:t>
            </w:r>
          </w:p>
        </w:tc>
        <w:tc>
          <w:tcPr>
            <w:tcW w:w="7372" w:type="dxa"/>
          </w:tcPr>
          <w:p>
            <w:pPr/>
            <w:r>
              <w:rPr>
                <w:b w:val="1"/>
              </w:rPr>
              <w:t xml:space="preserve">不接受表述锁定</w:t>
            </w:r>
            <w:r>
              <w:t xml:space="preserve">：任何 UT 不得以「是否使用了某个特定词汇/函数名/变量名」作为判定依据，只判语义/行为是否命中</w:t>
            </w:r>
          </w:p>
        </w:tc>
      </w:tr>
    </w:tbl>
    <w:p>
      <w:pPr/>
      <w:r>
        <w:t xml:space="preserve">UT 总数 = 全部单元测试方法（test_*）数，</w:t>
      </w:r>
      <w:r>
        <w:rPr>
          <w:b w:val="1"/>
        </w:rPr>
        <w:t xml:space="preserve">&gt; 20（≥ 21）</w:t>
      </w:r>
      <w:r>
        <w:t xml:space="preserve">；通过率在全部 UT 上计算。gating UT 既计入通过率分母，又承担一票否决：任一 gating UT 失败，最终分归零。</w:t>
      </w:r>
    </w:p>
    <w:p>
      <w:pPr/>
      <w:r>
        <w:t xml:space="preserve">主分聚合公式：</w:t>
      </w:r>
    </w:p>
    <w:p>
      <w:pPr>
        <w:pStyle w:val="dingding_code"/>
        <w:shd w:val="clear" w:color="auto" w:fill="D0CECE"/>
      </w:pPr>
      <w:r>
        <w:t xml:space="preserve">UT_total = 全部单元测试方法（test_*）数        # &gt; 20（≥ 21）</w:t>
        <w:br w:type="textWrapping"/>
        <w:t xml:space="preserve">通过率   = 通过的 UT 方法数 / UT_total</w:t>
        <w:br w:type="textWrapping"/>
        <w:t xml:space="preserve">主分     = clip(通过率, 0, 1)</w:t>
        <w:br w:type="textWrapping"/>
        <w:t xml:space="preserve">最终分   = 0 if 任一 gating UT 失败 else 主分</w:t>
        <w:br w:type="textWrapping"/>
      </w:r>
    </w:p>
    <w:p>
      <w:bookmarkStart w:id="mtr6dx31i2hzy4n8krm" w:name="mtr6dx31i2hzy4n8krm"/>
      <w:pPr>
        <w:pStyle w:val="dingding-heading4"/>
      </w:pPr>
      <w:r>
        <w:t xml:space="preserve">3.3.3 UT 覆盖维度</w:t>
      </w:r>
      <w:bookmarkEnd w:id="mtr6dx31i2hzy4n8krm"/>
    </w:p>
    <w:tbl>
      <w:tblPr>
        <w:tblStyle w:val="tableHeader"/>
        <w:tblW w:w="0" w:type="pct"/>
        <w:tblLook w:firstRow="1" w:lastRow="0" w:firstColumn="0" w:lastColumn="0" w:noHBand="0" w:noVBand="0"/>
      </w:tblPr>
      <w:tblGrid>
        <w:gridCol w:w="4910"/>
        <w:gridCol w:w="4910"/>
        <w:gridCol w:w="4924"/>
      </w:tblGrid>
      <w:tr>
        <w:trPr>
          <w:trHeight w:val="0"/>
        </w:trPr>
        <w:tc>
          <w:tcPr>
            <w:tcW w:w="4910" w:type="dxa"/>
          </w:tcPr>
          <w:p>
            <w:pPr/>
            <w:r>
              <w:t xml:space="preserve">一级维度</w:t>
            </w:r>
          </w:p>
        </w:tc>
        <w:tc>
          <w:tcPr>
            <w:tcW w:w="4910" w:type="dxa"/>
          </w:tcPr>
          <w:p>
            <w:pPr/>
            <w:r>
              <w:t xml:space="preserve">必需</w:t>
            </w:r>
          </w:p>
        </w:tc>
        <w:tc>
          <w:tcPr>
            <w:tcW w:w="4924" w:type="dxa"/>
          </w:tcPr>
          <w:p>
            <w:pPr/>
            <w:r>
              <w:t xml:space="preserve">UT 须覆盖</w:t>
            </w:r>
          </w:p>
        </w:tc>
      </w:tr>
      <w:tr>
        <w:trPr>
          <w:trHeight w:val="0"/>
        </w:trPr>
        <w:tc>
          <w:tcPr>
            <w:tcW w:w="4910" w:type="dxa"/>
          </w:tcPr>
          <w:p>
            <w:pPr/>
            <w:r/>
            <w:r>
              <w:rPr>
                <w:shd w:val="clear" w:color="auto" w:fill="F0F1F1"/>
              </w:rPr>
              <w:t xml:space="preserve">语义正确性</w:t>
            </w:r>
            <w:r/>
          </w:p>
        </w:tc>
        <w:tc>
          <w:tcPr>
            <w:tcW w:w="4910" w:type="dxa"/>
          </w:tcPr>
          <w:p>
            <w:pPr/>
            <w:r>
              <w:rPr>
                <w:b w:val="1"/>
              </w:rPr>
              <w:t xml:space="preserve">是</w:t>
            </w:r>
          </w:p>
        </w:tc>
        <w:tc>
          <w:tcPr>
            <w:tcW w:w="4924" w:type="dxa"/>
          </w:tcPr>
          <w:p>
            <w:pPr/>
            <w:r>
              <w:t xml:space="preserve">最终代码/改动是否满足题目的语义约束（不是「能不能跑」）</w:t>
            </w:r>
          </w:p>
        </w:tc>
      </w:tr>
      <w:tr>
        <w:trPr>
          <w:trHeight w:val="0"/>
        </w:trPr>
        <w:tc>
          <w:tcPr>
            <w:tcW w:w="4910" w:type="dxa"/>
          </w:tcPr>
          <w:p>
            <w:pPr/>
            <w:r/>
            <w:r>
              <w:rPr>
                <w:shd w:val="clear" w:color="auto" w:fill="F0F1F1"/>
              </w:rPr>
              <w:t xml:space="preserve">改一查十完备性</w:t>
            </w:r>
            <w:r/>
          </w:p>
        </w:tc>
        <w:tc>
          <w:tcPr>
            <w:tcW w:w="4910" w:type="dxa"/>
          </w:tcPr>
          <w:p>
            <w:pPr/>
            <w:r>
              <w:rPr>
                <w:b w:val="1"/>
              </w:rPr>
              <w:t xml:space="preserve">是</w:t>
            </w:r>
          </w:p>
        </w:tc>
        <w:tc>
          <w:tcPr>
            <w:tcW w:w="4924" w:type="dxa"/>
          </w:tcPr>
          <w:p>
            <w:pPr/>
            <w:r>
              <w:t xml:space="preserve">badpattern 对应的每处下游/相关改动点是否都改到（漏改即失败）</w:t>
            </w:r>
          </w:p>
        </w:tc>
      </w:tr>
      <w:tr>
        <w:trPr>
          <w:trHeight w:val="0"/>
        </w:trPr>
        <w:tc>
          <w:tcPr>
            <w:tcW w:w="4910" w:type="dxa"/>
          </w:tcPr>
          <w:p>
            <w:pPr/>
            <w:r/>
            <w:r>
              <w:rPr>
                <w:shd w:val="clear" w:color="auto" w:fill="F0F1F1"/>
              </w:rPr>
              <w:t xml:space="preserve">单轮反幻觉</w:t>
            </w:r>
            <w:r/>
          </w:p>
        </w:tc>
        <w:tc>
          <w:tcPr>
            <w:tcW w:w="4910" w:type="dxa"/>
          </w:tcPr>
          <w:p>
            <w:pPr/>
            <w:r>
              <w:rPr>
                <w:b w:val="1"/>
              </w:rPr>
              <w:t xml:space="preserve">是</w:t>
            </w:r>
          </w:p>
        </w:tc>
        <w:tc>
          <w:tcPr>
            <w:tcW w:w="4924" w:type="dxa"/>
          </w:tcPr>
          <w:p>
            <w:pPr/>
            <w:r>
              <w:t xml:space="preserve">模型是否把 prompt 内嵌错误前提坐实到代码中；改动后代码是否产生预设 badpattern</w:t>
            </w:r>
          </w:p>
        </w:tc>
      </w:tr>
      <w:tr>
        <w:trPr>
          <w:trHeight w:val="0"/>
        </w:trPr>
        <w:tc>
          <w:tcPr>
            <w:tcW w:w="4910" w:type="dxa"/>
          </w:tcPr>
          <w:p>
            <w:pPr/>
            <w:r/>
            <w:r>
              <w:rPr>
                <w:shd w:val="clear" w:color="auto" w:fill="F0F1F1"/>
              </w:rPr>
              <w:t xml:space="preserve">回归安全</w:t>
            </w:r>
            <w:r/>
          </w:p>
        </w:tc>
        <w:tc>
          <w:tcPr>
            <w:tcW w:w="4910" w:type="dxa"/>
          </w:tcPr>
          <w:p>
            <w:pPr/>
            <w:r>
              <w:t xml:space="preserve">否</w:t>
            </w:r>
          </w:p>
        </w:tc>
        <w:tc>
          <w:tcPr>
            <w:tcW w:w="4924" w:type="dxa"/>
          </w:tcPr>
          <w:p>
            <w:pPr/>
            <w:r>
              <w:t xml:space="preserve">是否破坏既有行为或其他调用点</w:t>
            </w:r>
          </w:p>
        </w:tc>
      </w:tr>
      <w:tr>
        <w:trPr>
          <w:trHeight w:val="0"/>
        </w:trPr>
        <w:tc>
          <w:tcPr>
            <w:tcW w:w="4910" w:type="dxa"/>
          </w:tcPr>
          <w:p>
            <w:pPr/>
            <w:r/>
            <w:r>
              <w:rPr>
                <w:shd w:val="clear" w:color="auto" w:fill="F0F1F1"/>
              </w:rPr>
              <w:t xml:space="preserve">边界与异常</w:t>
            </w:r>
            <w:r/>
          </w:p>
        </w:tc>
        <w:tc>
          <w:tcPr>
            <w:tcW w:w="4910" w:type="dxa"/>
          </w:tcPr>
          <w:p>
            <w:pPr/>
            <w:r>
              <w:t xml:space="preserve">否</w:t>
            </w:r>
          </w:p>
        </w:tc>
        <w:tc>
          <w:tcPr>
            <w:tcW w:w="4924" w:type="dxa"/>
          </w:tcPr>
          <w:p>
            <w:pPr/>
            <w:r>
              <w:t xml:space="preserve">边界输入、异常路径的行为是否正确</w:t>
            </w:r>
          </w:p>
        </w:tc>
      </w:tr>
    </w:tbl>
    <w:p>
      <w:pPr/>
      <w:r>
        <w:t xml:space="preserve">三个必需维度必须均有对应 UT 覆盖并在 task.toml 的 [[metadata.ut_index]] 中登记；缺任一维度整题退回。领域特有的评价点归入上述维度，不新增一级维度名。</w:t>
      </w:r>
    </w:p>
    <w:p>
      <w:bookmarkStart w:id="mtr6dx315dii9ngm4fl" w:name="mtr6dx315dii9ngm4fl"/>
      <w:pPr>
        <w:pStyle w:val="dingding-heading4"/>
      </w:pPr>
      <w:r>
        <w:t xml:space="preserve">3.3.4 证据链要求</w:t>
      </w:r>
      <w:bookmarkEnd w:id="mtr6dx315dii9ngm4fl"/>
    </w:p>
    <w:p>
      <w:pPr/>
      <w:r>
        <w:t xml:space="preserve">每个 UT 方法必须声明 </w:t>
      </w:r>
      <w:r>
        <w:rPr>
          <w:shd w:val="clear" w:color="auto" w:fill="F0F1F1"/>
        </w:rPr>
        <w:t xml:space="preserve">evidence_required</w:t>
      </w:r>
      <w:r>
        <w:t xml:space="preserve">，指明判分依赖的具体运行证据形式与提取方法。未声明证据链的 UT 在验收时不计入有效判分点。</w:t>
      </w:r>
    </w:p>
    <w:tbl>
      <w:tblPr>
        <w:tblStyle w:val="tableHeader"/>
        <w:tblW w:w="0" w:type="pct"/>
        <w:tblLook w:firstRow="1" w:lastRow="0" w:firstColumn="0" w:lastColumn="0" w:noHBand="0" w:noVBand="0"/>
      </w:tblPr>
      <w:tblGrid>
        <w:gridCol w:w="4910"/>
        <w:gridCol w:w="4910"/>
        <w:gridCol w:w="4924"/>
      </w:tblGrid>
      <w:tr>
        <w:trPr>
          <w:trHeight w:val="0"/>
        </w:trPr>
        <w:tc>
          <w:tcPr>
            <w:tcW w:w="4910" w:type="dxa"/>
          </w:tcPr>
          <w:p>
            <w:pPr/>
            <w:r>
              <w:t xml:space="preserve">UT 类型</w:t>
            </w:r>
          </w:p>
        </w:tc>
        <w:tc>
          <w:tcPr>
            <w:tcW w:w="4910" w:type="dxa"/>
          </w:tcPr>
          <w:p>
            <w:pPr/>
            <w:r>
              <w:t xml:space="preserve">须声明的证据形态</w:t>
            </w:r>
          </w:p>
        </w:tc>
        <w:tc>
          <w:tcPr>
            <w:tcW w:w="4924" w:type="dxa"/>
          </w:tcPr>
          <w:p>
            <w:pPr/>
            <w:r>
              <w:t xml:space="preserve">证据提取标准</w:t>
            </w:r>
          </w:p>
        </w:tc>
      </w:tr>
      <w:tr>
        <w:trPr>
          <w:trHeight w:val="0"/>
        </w:trPr>
        <w:tc>
          <w:tcPr>
            <w:tcW w:w="4910" w:type="dxa"/>
          </w:tcPr>
          <w:p>
            <w:pPr/>
            <w:r>
              <w:t xml:space="preserve">改动点命中</w:t>
            </w:r>
          </w:p>
        </w:tc>
        <w:tc>
          <w:tcPr>
            <w:tcW w:w="4910" w:type="dxa"/>
          </w:tcPr>
          <w:p>
            <w:pPr/>
            <w:r>
              <w:t xml:space="preserve">断言目标改动点的输入/预期输出与实际运行结果</w:t>
            </w:r>
          </w:p>
        </w:tc>
        <w:tc>
          <w:tcPr>
            <w:tcW w:w="4924" w:type="dxa"/>
          </w:tcPr>
          <w:p>
            <w:pPr/>
            <w:r>
              <w:t xml:space="preserve">给出 UT 名、断言目标位置、通过/失败与实际输出</w:t>
            </w:r>
          </w:p>
        </w:tc>
      </w:tr>
      <w:tr>
        <w:trPr>
          <w:trHeight w:val="0"/>
        </w:trPr>
        <w:tc>
          <w:tcPr>
            <w:tcW w:w="4910" w:type="dxa"/>
          </w:tcPr>
          <w:p>
            <w:pPr/>
            <w:r>
              <w:t xml:space="preserve">改一查十完备</w:t>
            </w:r>
          </w:p>
        </w:tc>
        <w:tc>
          <w:tcPr>
            <w:tcW w:w="4910" w:type="dxa"/>
          </w:tcPr>
          <w:p>
            <w:pPr/>
            <w:r>
              <w:t xml:space="preserve">覆盖每处下游/相关点的 UT 及其运行结果</w:t>
            </w:r>
          </w:p>
        </w:tc>
        <w:tc>
          <w:tcPr>
            <w:tcW w:w="4924" w:type="dxa"/>
          </w:tcPr>
          <w:p>
            <w:pPr/>
            <w:r>
              <w:t xml:space="preserve">逐处列出对应 UT 名与通过情况；任一漏改点 UT 失败</w:t>
            </w:r>
          </w:p>
        </w:tc>
      </w:tr>
      <w:tr>
        <w:trPr>
          <w:trHeight w:val="0"/>
        </w:trPr>
        <w:tc>
          <w:tcPr>
            <w:tcW w:w="4910" w:type="dxa"/>
          </w:tcPr>
          <w:p>
            <w:pPr/>
            <w:r>
              <w:t xml:space="preserve">代码语义正确性</w:t>
            </w:r>
          </w:p>
        </w:tc>
        <w:tc>
          <w:tcPr>
            <w:tcW w:w="4910" w:type="dxa"/>
          </w:tcPr>
          <w:p>
            <w:pPr/>
            <w:r>
              <w:t xml:space="preserve">模型改动后代码的实际运行输出，或与 equivalent_impls 的等价校验</w:t>
            </w:r>
          </w:p>
        </w:tc>
        <w:tc>
          <w:tcPr>
            <w:tcW w:w="4924" w:type="dxa"/>
          </w:tcPr>
          <w:p>
            <w:pPr/>
            <w:r>
              <w:t xml:space="preserve">附运行日志；等价实现须能通过同一组非 gating UT</w:t>
            </w:r>
          </w:p>
        </w:tc>
      </w:tr>
      <w:tr>
        <w:trPr>
          <w:trHeight w:val="0"/>
        </w:trPr>
        <w:tc>
          <w:tcPr>
            <w:tcW w:w="4910" w:type="dxa"/>
          </w:tcPr>
          <w:p>
            <w:pPr/>
            <w:r>
              <w:t xml:space="preserve">单轮反幻觉表现</w:t>
            </w:r>
          </w:p>
        </w:tc>
        <w:tc>
          <w:tcPr>
            <w:tcW w:w="4910" w:type="dxa"/>
          </w:tcPr>
          <w:p>
            <w:pPr/>
            <w:r>
              <w:t xml:space="preserve">针对 prompt 内嵌错误前提的 UT（检测代码是否坐实错误前提/badpattern）</w:t>
            </w:r>
          </w:p>
        </w:tc>
        <w:tc>
          <w:tcPr>
            <w:tcW w:w="4924" w:type="dxa"/>
          </w:tcPr>
          <w:p>
            <w:pPr/>
            <w:r>
              <w:t xml:space="preserve">给出 UT 名与断言，命中即判定盲从/坐实 badpattern</w:t>
            </w:r>
          </w:p>
        </w:tc>
      </w:tr>
      <w:tr>
        <w:trPr>
          <w:trHeight w:val="0"/>
        </w:trPr>
        <w:tc>
          <w:tcPr>
            <w:tcW w:w="4910" w:type="dxa"/>
          </w:tcPr>
          <w:p>
            <w:pPr/>
            <w:r>
              <w:t xml:space="preserve">gating 违规</w:t>
            </w:r>
          </w:p>
        </w:tc>
        <w:tc>
          <w:tcPr>
            <w:tcW w:w="4910" w:type="dxa"/>
          </w:tcPr>
          <w:p>
            <w:pPr/>
            <w:r>
              <w:t xml:space="preserve">触发 gating UT 失败的运行记录</w:t>
            </w:r>
          </w:p>
        </w:tc>
        <w:tc>
          <w:tcPr>
            <w:tcW w:w="4924" w:type="dxa"/>
          </w:tcPr>
          <w:p>
            <w:pPr/>
            <w:r>
              <w:t xml:space="preserve">引用 gating UT 名、断言与失败输出；不使用 LLM judge、不依赖人工复核</w:t>
            </w:r>
          </w:p>
        </w:tc>
      </w:tr>
    </w:tbl>
    <w:p>
      <w:bookmarkStart w:id="mtr6dx32z2lizcqrj8c" w:name="mtr6dx32z2lizcqrj8c"/>
      <w:pPr>
        <w:pStyle w:val="dingding-heading4"/>
      </w:pPr>
      <w:r>
        <w:t xml:space="preserve">3.3.5 质量要求</w:t>
      </w:r>
      <w:bookmarkEnd w:id="mtr6dx32z2lizcqrj8c"/>
    </w:p>
    <w:p>
      <w:pPr>
        <w:numPr>
          <w:ilvl w:val="0"/>
          <w:numId w:val="19"/>
        </w:numPr>
      </w:pPr>
      <w:r>
        <w:rPr>
          <w:b w:val="1"/>
        </w:rPr>
        <w:t xml:space="preserve">原子性</w:t>
      </w:r>
      <w:r>
        <w:t xml:space="preserve">：一个 UT 方法只校验一个能力点/改动点，不引入其他内容做二次判断。涉及具体判定时写死断言，例如不写「理解了 GIL」，而断言「并发调用下 </w:t>
      </w:r>
      <w:r>
        <w:rPr>
          <w:shd w:val="clear" w:color="auto" w:fill="F0F1F1"/>
        </w:rPr>
        <w:t xml:space="preserve">if</w:t>
      </w:r>
      <w:r>
        <w:t xml:space="preserve"> 检查与赋值这一复合操作出现竞态导致重复实例化」。</w:t>
      </w:r>
    </w:p>
    <w:p>
      <w:pPr>
        <w:numPr>
          <w:ilvl w:val="0"/>
          <w:numId w:val="20"/>
        </w:numPr>
      </w:pPr>
      <w:r>
        <w:rPr>
          <w:b w:val="1"/>
        </w:rPr>
        <w:t xml:space="preserve">可验证性</w:t>
      </w:r>
      <w:r>
        <w:t xml:space="preserve">：能由 UT 断言对运行结果稳定判断是否满足，避免依赖「分析深入」「理解到位」这类无法程序化的描述。</w:t>
      </w:r>
    </w:p>
    <w:p>
      <w:pPr>
        <w:numPr>
          <w:ilvl w:val="0"/>
          <w:numId w:val="21"/>
        </w:numPr>
      </w:pPr>
      <w:r>
        <w:rPr>
          <w:b w:val="1"/>
        </w:rPr>
        <w:t xml:space="preserve">与题面一致</w:t>
      </w:r>
      <w:r>
        <w:t xml:space="preserve">：UT 必须来源于 prompt 中的显式要求或合理隐含要求，不得是伪需求。</w:t>
      </w:r>
    </w:p>
    <w:p>
      <w:pPr>
        <w:numPr>
          <w:ilvl w:val="0"/>
          <w:numId w:val="22"/>
        </w:numPr>
      </w:pPr>
      <w:r>
        <w:rPr>
          <w:b w:val="1"/>
        </w:rPr>
        <w:t xml:space="preserve">不锁定表述路径</w:t>
      </w:r>
      <w:r>
        <w:t xml:space="preserve">：只校验语义/行为是否命中，不断言「必须用某个术语/函数名」「必须按某个顺序」。等价实现必须拿到同样的通过结果。</w:t>
      </w:r>
    </w:p>
    <w:p>
      <w:pPr>
        <w:numPr>
          <w:ilvl w:val="0"/>
          <w:numId w:val="23"/>
        </w:numPr>
      </w:pPr>
      <w:r>
        <w:rPr>
          <w:b w:val="1"/>
        </w:rPr>
        <w:t xml:space="preserve">无重复、无冲突</w:t>
      </w:r>
      <w:r>
        <w:t xml:space="preserve">：不同 UT 校验不同内容，不允许重复计分或相互矛盾。gating UT 已覆盖的违规不得再设同义 UT 重复扣分。</w:t>
      </w:r>
    </w:p>
    <w:p>
      <w:pPr>
        <w:numPr>
          <w:ilvl w:val="0"/>
          <w:numId w:val="24"/>
        </w:numPr>
      </w:pPr>
      <w:r>
        <w:rPr>
          <w:b w:val="1"/>
        </w:rPr>
        <w:t xml:space="preserve">粒度合理</w:t>
      </w:r>
      <w:r>
        <w:t xml:space="preserve">：UT 粒度应对应真实改动点与语义行为，不把一个点拆成大量无意义小 UT 注水，也不把多处改动塞进一个 UT。</w:t>
      </w:r>
    </w:p>
    <w:p>
      <w:pPr>
        <w:numPr>
          <w:ilvl w:val="0"/>
          <w:numId w:val="25"/>
        </w:numPr>
      </w:pPr>
      <w:r>
        <w:rPr>
          <w:b w:val="1"/>
        </w:rPr>
        <w:t xml:space="preserve">禁止空洞、无实质断言的 UT</w:t>
      </w:r>
      <w:r>
        <w:t xml:space="preserve">（如仅打印、仅校验非空、仅校验导入成功）。</w:t>
      </w:r>
    </w:p>
    <w:p>
      <w:pPr/>
      <w:r>
        <w:t xml:space="preserve">Code Sense 采用全程单元测试判分（不使用 LLM judge、不依赖人工复核），因此</w:t>
      </w:r>
      <w:r>
        <w:rPr>
          <w:b w:val="1"/>
        </w:rPr>
        <w:t xml:space="preserve">判分脚本与 UT 套件本身的可执行与确定性是交付物的一部分</w:t>
      </w:r>
      <w:r>
        <w:t xml:space="preserve">：同一份答卷多次运行必须得到完全一致的逐条 UT 通过/失败与 gating 判定。</w:t>
      </w:r>
    </w:p>
    <w:tbl>
      <w:tblPr>
        <w:tblStyle w:val="tableHeader"/>
        <w:tblW w:w="0" w:type="pct"/>
        <w:tblLook w:firstRow="1" w:lastRow="0" w:firstColumn="0" w:lastColumn="0" w:noHBand="0" w:noVBand="0"/>
      </w:tblPr>
      <w:tblGrid>
        <w:gridCol w:w="7372"/>
        <w:gridCol w:w="7372"/>
      </w:tblGrid>
      <w:tr>
        <w:trPr>
          <w:trHeight w:val="0"/>
        </w:trPr>
        <w:tc>
          <w:tcPr>
            <w:tcW w:w="7372" w:type="dxa"/>
          </w:tcPr>
          <w:p>
            <w:pPr/>
            <w:r>
              <w:t xml:space="preserve">项</w:t>
            </w:r>
          </w:p>
        </w:tc>
        <w:tc>
          <w:tcPr>
            <w:tcW w:w="7372" w:type="dxa"/>
          </w:tcPr>
          <w:p>
            <w:pPr/>
            <w:r>
              <w:t xml:space="preserve">要求</w:t>
            </w:r>
          </w:p>
        </w:tc>
      </w:tr>
      <w:tr>
        <w:trPr>
          <w:trHeight w:val="0"/>
        </w:trPr>
        <w:tc>
          <w:tcPr>
            <w:tcW w:w="7372" w:type="dxa"/>
          </w:tcPr>
          <w:p>
            <w:pPr/>
            <w:r>
              <w:t xml:space="preserve">判分脚本</w:t>
            </w:r>
          </w:p>
        </w:tc>
        <w:tc>
          <w:tcPr>
            <w:tcW w:w="7372" w:type="dxa"/>
          </w:tcPr>
          <w:p>
            <w:pPr/>
            <w:r>
              <w:t xml:space="preserve">tests/ 下 UT 套件（pytest 或等效框架）+ 判分入口 tests/score.py 须完整可直接运行：以模型改动后的仓库/答卷为输入，运行全部 UT，输出结构化 JSON（逐条给 id / ut_name / 通过失败 / 命中证据引用），并据通过率与 gating 计算最终分；判定完全基于 UT 断言，不得调用任何 LLM</w:t>
            </w:r>
          </w:p>
        </w:tc>
      </w:tr>
      <w:tr>
        <w:trPr>
          <w:trHeight w:val="0"/>
        </w:trPr>
        <w:tc>
          <w:tcPr>
            <w:tcW w:w="7372" w:type="dxa"/>
          </w:tcPr>
          <w:p>
            <w:pPr/>
            <w:r>
              <w:t xml:space="preserve">UT 可追溯</w:t>
            </w:r>
          </w:p>
        </w:tc>
        <w:tc>
          <w:tcPr>
            <w:tcW w:w="7372" w:type="dxa"/>
          </w:tcPr>
          <w:p>
            <w:pPr/>
            <w:r>
              <w:t xml:space="preserve">每个 [[metadata.ut_index]] 条目均须对应脚本中具名的 test_ 方法，失败时回写断言目标与实际输出；无法用 UT 断言的考察点不得入题</w:t>
            </w:r>
          </w:p>
        </w:tc>
      </w:tr>
      <w:tr>
        <w:trPr>
          <w:trHeight w:val="0"/>
        </w:trPr>
        <w:tc>
          <w:tcPr>
            <w:tcW w:w="7372" w:type="dxa"/>
          </w:tcPr>
          <w:p>
            <w:pPr/>
            <w:r>
              <w:t xml:space="preserve">判分确定性</w:t>
            </w:r>
          </w:p>
        </w:tc>
        <w:tc>
          <w:tcPr>
            <w:tcW w:w="7372" w:type="dxa"/>
          </w:tcPr>
          <w:p>
            <w:pPr/>
            <w:r>
              <w:t xml:space="preserve">同一份答卷、同一 UT 套件与环境，连跑 3 次：逐条 UT 通过/失败与 gating 判定 100% 一致。不达标说明存在非确定性（依赖时间/随机种子/未固定迭代序/外部网络），整题退修</w:t>
            </w:r>
          </w:p>
        </w:tc>
      </w:tr>
      <w:tr>
        <w:trPr>
          <w:trHeight w:val="0"/>
        </w:trPr>
        <w:tc>
          <w:tcPr>
            <w:tcW w:w="7372" w:type="dxa"/>
          </w:tcPr>
          <w:p>
            <w:pPr/>
            <w:r>
              <w:t xml:space="preserve">badpattern 判定</w:t>
            </w:r>
          </w:p>
        </w:tc>
        <w:tc>
          <w:tcPr>
            <w:tcW w:w="7372" w:type="dxa"/>
          </w:tcPr>
          <w:p>
            <w:pPr/>
            <w:r>
              <w:t xml:space="preserve">针对预设 badpattern 的 UT（含 gating），均由 UT 断言判定模型改动后代码是否实际产生该 badpattern；命中即失败/一票否决，不得仅凭题面包含 badpattern 命题就扣分</w:t>
            </w:r>
          </w:p>
        </w:tc>
      </w:tr>
      <w:tr>
        <w:trPr>
          <w:trHeight w:val="0"/>
        </w:trPr>
        <w:tc>
          <w:tcPr>
            <w:tcW w:w="7372" w:type="dxa"/>
          </w:tcPr>
          <w:p>
            <w:pPr/>
            <w:r>
              <w:t xml:space="preserve">gating 判定约束</w:t>
            </w:r>
          </w:p>
        </w:tc>
        <w:tc>
          <w:tcPr>
            <w:tcW w:w="7372" w:type="dxa"/>
          </w:tcPr>
          <w:p>
            <w:pPr/>
            <w:r>
              <w:t xml:space="preserve">gating UT 由测试断言直接判定，失败即最终分归零；evidence_required 中须体现 gating UT 名与失败输出；不得引入 LLM judge 或人工复核</w:t>
            </w:r>
          </w:p>
        </w:tc>
      </w:tr>
      <w:tr>
        <w:trPr>
          <w:trHeight w:val="0"/>
        </w:trPr>
        <w:tc>
          <w:tcPr>
            <w:tcW w:w="7372" w:type="dxa"/>
          </w:tcPr>
          <w:p>
            <w:pPr/>
            <w:r>
              <w:t xml:space="preserve">UT 与判分充分性</w:t>
            </w:r>
          </w:p>
        </w:tc>
        <w:tc>
          <w:tcPr>
            <w:tcW w:w="7372" w:type="dxa"/>
          </w:tcPr>
          <w:p>
            <w:pPr/>
            <w:r>
              <w:t xml:space="preserve">tests/ 下 UT 与断言共同构成结果导向的判分依据；test_is_sufficient 统一为 true。若一题的 UT 仅校验平凡功能、无任何语义陷阱/badpattern 考察，说明该题应归入传统 coding eval，按 §2.5 第 1 条退回</w:t>
            </w:r>
          </w:p>
        </w:tc>
      </w:tr>
    </w:tbl>
    <w:p>
      <w:pPr/>
      <w:r>
        <w:t xml:space="preserve">标杆校准四件套（tests/calibration/，每题必交，每份均附逐条 UT 结果单，写明命中/失败的 UT 及判定依据）：</w:t>
      </w:r>
    </w:p>
    <w:tbl>
      <w:tblPr>
        <w:tblStyle w:val="tableHeader"/>
        <w:tblW w:w="0" w:type="pct"/>
        <w:tblLook w:firstRow="1" w:lastRow="0" w:firstColumn="0" w:lastColumn="0" w:noHBand="0" w:noVBand="0"/>
      </w:tblPr>
      <w:tblGrid>
        <w:gridCol w:w="4910"/>
        <w:gridCol w:w="4910"/>
        <w:gridCol w:w="4924"/>
      </w:tblGrid>
      <w:tr>
        <w:trPr>
          <w:trHeight w:val="0"/>
        </w:trPr>
        <w:tc>
          <w:tcPr>
            <w:tcW w:w="4910" w:type="dxa"/>
          </w:tcPr>
          <w:p>
            <w:pPr/>
            <w:r>
              <w:t xml:space="preserve">文件</w:t>
            </w:r>
          </w:p>
        </w:tc>
        <w:tc>
          <w:tcPr>
            <w:tcW w:w="4910" w:type="dxa"/>
          </w:tcPr>
          <w:p>
            <w:pPr/>
            <w:r>
              <w:t xml:space="preserve">内容</w:t>
            </w:r>
          </w:p>
        </w:tc>
        <w:tc>
          <w:tcPr>
            <w:tcW w:w="4924" w:type="dxa"/>
          </w:tcPr>
          <w:p>
            <w:pPr/>
            <w:r>
              <w:t xml:space="preserve">预期判定</w:t>
            </w:r>
          </w:p>
        </w:tc>
      </w:tr>
      <w:tr>
        <w:trPr>
          <w:trHeight w:val="0"/>
        </w:trPr>
        <w:tc>
          <w:tcPr>
            <w:tcW w:w="4910" w:type="dxa"/>
          </w:tcPr>
          <w:p>
            <w:pPr/>
            <w:r/>
            <w:r>
              <w:rPr>
                <w:shd w:val="clear" w:color="auto" w:fill="F0F1F1"/>
              </w:rPr>
              <w:t xml:space="preserve">full_score.md</w:t>
            </w:r>
            <w:r/>
          </w:p>
        </w:tc>
        <w:tc>
          <w:tcPr>
            <w:tcW w:w="4910" w:type="dxa"/>
          </w:tcPr>
          <w:p>
            <w:pPr/>
            <w:r>
              <w:t xml:space="preserve">满分标杆提交</w:t>
            </w:r>
          </w:p>
        </w:tc>
        <w:tc>
          <w:tcPr>
            <w:tcW w:w="4924" w:type="dxa"/>
          </w:tcPr>
          <w:p>
            <w:pPr/>
            <w:r>
              <w:t xml:space="preserve">全部 UT 通过，无 gating 失败，主分 = 1.0</w:t>
            </w:r>
          </w:p>
        </w:tc>
      </w:tr>
      <w:tr>
        <w:trPr>
          <w:trHeight w:val="0"/>
        </w:trPr>
        <w:tc>
          <w:tcPr>
            <w:tcW w:w="4910" w:type="dxa"/>
          </w:tcPr>
          <w:p>
            <w:pPr/>
            <w:r/>
            <w:r>
              <w:rPr>
                <w:shd w:val="clear" w:color="auto" w:fill="F0F1F1"/>
              </w:rPr>
              <w:t xml:space="preserve">defective.md</w:t>
            </w:r>
            <w:r/>
          </w:p>
        </w:tc>
        <w:tc>
          <w:tcPr>
            <w:tcW w:w="4910" w:type="dxa"/>
          </w:tcPr>
          <w:p>
            <w:pPr/>
            <w:r>
              <w:t xml:space="preserve">埋入 2–3 处典型缺陷的提交</w:t>
            </w:r>
          </w:p>
        </w:tc>
        <w:tc>
          <w:tcPr>
            <w:tcW w:w="4924" w:type="dxa"/>
          </w:tcPr>
          <w:p>
            <w:pPr/>
            <w:r>
              <w:t xml:space="preserve">对应缺陷的 UT 失败，主分落在明确区间内并说明每处缺陷对应哪个 UT</w:t>
            </w:r>
          </w:p>
        </w:tc>
      </w:tr>
      <w:tr>
        <w:trPr>
          <w:trHeight w:val="0"/>
        </w:trPr>
        <w:tc>
          <w:tcPr>
            <w:tcW w:w="4910" w:type="dxa"/>
          </w:tcPr>
          <w:p>
            <w:pPr/>
            <w:r/>
            <w:r>
              <w:rPr>
                <w:shd w:val="clear" w:color="auto" w:fill="F0F1F1"/>
              </w:rPr>
              <w:t xml:space="preserve">guessed.md</w:t>
            </w:r>
            <w:r/>
          </w:p>
        </w:tc>
        <w:tc>
          <w:tcPr>
            <w:tcW w:w="4910" w:type="dxa"/>
          </w:tcPr>
          <w:p>
            <w:pPr/>
            <w:r>
              <w:rPr>
                <w:b w:val="1"/>
              </w:rPr>
              <w:t xml:space="preserve">语法正确但语义错</w:t>
            </w:r>
            <w:r>
              <w:t xml:space="preserve">的「蒙对」提交</w:t>
            </w:r>
          </w:p>
        </w:tc>
        <w:tc>
          <w:tcPr>
            <w:tcW w:w="4924" w:type="dxa"/>
          </w:tcPr>
          <w:p>
            <w:pPr/>
            <w:r>
              <w:t xml:space="preserve">主分 ≤ </w:t>
            </w:r>
            <w:r>
              <w:rPr>
                <w:b w:val="1"/>
              </w:rPr>
              <w:t xml:space="preserve">0.30</w:t>
            </w:r>
            <w:r>
              <w:t xml:space="preserve">。这是 Code Sense 的准入检查，见 §3.5</w:t>
            </w:r>
          </w:p>
        </w:tc>
      </w:tr>
      <w:tr>
        <w:trPr>
          <w:trHeight w:val="0"/>
        </w:trPr>
        <w:tc>
          <w:tcPr>
            <w:tcW w:w="4910" w:type="dxa"/>
          </w:tcPr>
          <w:p>
            <w:pPr/>
            <w:r/>
            <w:r>
              <w:rPr>
                <w:shd w:val="clear" w:color="auto" w:fill="F0F1F1"/>
              </w:rPr>
              <w:t xml:space="preserve">equivalent.md</w:t>
            </w:r>
            <w:r/>
          </w:p>
        </w:tc>
        <w:tc>
          <w:tcPr>
            <w:tcW w:w="4910" w:type="dxa"/>
          </w:tcPr>
          <w:p>
            <w:pPr/>
            <w:r>
              <w:t xml:space="preserve">功能等价、结构/写法不同的提交</w:t>
            </w:r>
          </w:p>
        </w:tc>
        <w:tc>
          <w:tcPr>
            <w:tcW w:w="4924" w:type="dxa"/>
          </w:tcPr>
          <w:p>
            <w:pPr/>
            <w:r>
              <w:t xml:space="preserve">主分 ≥ </w:t>
            </w:r>
            <w:r>
              <w:rPr>
                <w:b w:val="1"/>
              </w:rPr>
              <w:t xml:space="preserve">0.90</w:t>
            </w:r>
            <w:r>
              <w:t xml:space="preserve">，且无 gating 失败，证明 UT 不误杀等价实现</w:t>
            </w:r>
          </w:p>
        </w:tc>
      </w:tr>
    </w:tbl>
    <w:p>
      <w:pPr/>
      <w:r>
        <w:t xml:space="preserve">供应商说不清 UT 失败依据的，该题判分不合格。</w:t>
      </w:r>
    </w:p>
    <w:p>
      <w:bookmarkStart w:id="mtr6dx36d77nstyhzbu" w:name="mtr6dx36d77nstyhzbu"/>
      <w:pPr>
        <w:pStyle w:val="dingding-heading3"/>
      </w:pPr>
      <w:r>
        <w:t xml:space="preserve">3.5 自检与稳定性</w:t>
      </w:r>
      <w:bookmarkEnd w:id="mtr6dx36d77nstyhzbu"/>
    </w:p>
    <w:p>
      <w:pPr/>
      <w:r>
        <w:t xml:space="preserve">供应商须在提交前完成以下自检并在 tests/assets/selfcheck.md 中留存结论与日志：</w:t>
      </w:r>
    </w:p>
    <w:tbl>
      <w:tblPr>
        <w:tblStyle w:val="tableHeader"/>
        <w:tblW w:w="0" w:type="pct"/>
        <w:tblLook w:firstRow="1" w:lastRow="0" w:firstColumn="0" w:lastColumn="0" w:noHBand="0" w:noVBand="0"/>
      </w:tblPr>
      <w:tblGrid>
        <w:gridCol w:w="4910"/>
        <w:gridCol w:w="4910"/>
        <w:gridCol w:w="4924"/>
      </w:tblGrid>
      <w:tr>
        <w:trPr>
          <w:trHeight w:val="0"/>
        </w:trPr>
        <w:tc>
          <w:tcPr>
            <w:tcW w:w="4910" w:type="dxa"/>
          </w:tcPr>
          <w:p>
            <w:pPr/>
            <w:r>
              <w:t xml:space="preserve">#</w:t>
            </w:r>
          </w:p>
        </w:tc>
        <w:tc>
          <w:tcPr>
            <w:tcW w:w="4910" w:type="dxa"/>
          </w:tcPr>
          <w:p>
            <w:pPr/>
            <w:r>
              <w:t xml:space="preserve">检查</w:t>
            </w:r>
          </w:p>
        </w:tc>
        <w:tc>
          <w:tcPr>
            <w:tcW w:w="4924" w:type="dxa"/>
          </w:tcPr>
          <w:p>
            <w:pPr/>
            <w:r>
              <w:t xml:space="preserve">期望</w:t>
            </w:r>
          </w:p>
        </w:tc>
      </w:tr>
      <w:tr>
        <w:trPr>
          <w:trHeight w:val="0"/>
        </w:trPr>
        <w:tc>
          <w:tcPr>
            <w:tcW w:w="4910" w:type="dxa"/>
          </w:tcPr>
          <w:p>
            <w:pPr/>
            <w:r>
              <w:t xml:space="preserve">1</w:t>
            </w:r>
          </w:p>
        </w:tc>
        <w:tc>
          <w:tcPr>
            <w:tcW w:w="4910" w:type="dxa"/>
          </w:tcPr>
          <w:p>
            <w:pPr/>
            <w:r>
              <w:t xml:space="preserve">陷阱可复现：运行 solution/counterexamples/ 下的反例程序</w:t>
            </w:r>
          </w:p>
        </w:tc>
        <w:tc>
          <w:tcPr>
            <w:tcW w:w="4924" w:type="dxa"/>
          </w:tcPr>
          <w:p>
            <w:pPr/>
            <w:r>
              <w:t xml:space="preserve">在声明的语言版本与平台上实际触发陷阱，附运行日志；概率性陷阱附复现率统计</w:t>
            </w:r>
          </w:p>
        </w:tc>
      </w:tr>
      <w:tr>
        <w:trPr>
          <w:trHeight w:val="0"/>
        </w:trPr>
        <w:tc>
          <w:tcPr>
            <w:tcW w:w="4910" w:type="dxa"/>
          </w:tcPr>
          <w:p>
            <w:pPr/>
            <w:r>
              <w:t xml:space="preserve">2</w:t>
            </w:r>
          </w:p>
        </w:tc>
        <w:tc>
          <w:tcPr>
            <w:tcW w:w="4910" w:type="dxa"/>
          </w:tcPr>
          <w:p>
            <w:pPr/>
            <w:r>
              <w:t xml:space="preserve">参考答案自检：solution/golden/ 中含可执行代码的部分实际运行</w:t>
            </w:r>
          </w:p>
        </w:tc>
        <w:tc>
          <w:tcPr>
            <w:tcW w:w="4924" w:type="dxa"/>
          </w:tcPr>
          <w:p>
            <w:pPr/>
            <w:r>
              <w:t xml:space="preserve">全部通过；输出与 answer.md 中声明的一致</w:t>
            </w:r>
          </w:p>
        </w:tc>
      </w:tr>
      <w:tr>
        <w:trPr>
          <w:trHeight w:val="0"/>
        </w:trPr>
        <w:tc>
          <w:tcPr>
            <w:tcW w:w="4910" w:type="dxa"/>
          </w:tcPr>
          <w:p>
            <w:pPr/>
            <w:r>
              <w:t xml:space="preserve">3</w:t>
            </w:r>
          </w:p>
        </w:tc>
        <w:tc>
          <w:tcPr>
            <w:tcW w:w="4910" w:type="dxa"/>
          </w:tcPr>
          <w:p>
            <w:pPr/>
            <w:r>
              <w:t xml:space="preserve">变体自检：solution/variants/ 下每个可接受变体实际运行</w:t>
            </w:r>
          </w:p>
        </w:tc>
        <w:tc>
          <w:tcPr>
            <w:tcW w:w="4924" w:type="dxa"/>
          </w:tcPr>
          <w:p>
            <w:pPr/>
            <w:r>
              <w:t xml:space="preserve">全部通过全部非 gating UT，与参考答案等价，附各自运行输出</w:t>
            </w:r>
          </w:p>
        </w:tc>
      </w:tr>
      <w:tr>
        <w:trPr>
          <w:trHeight w:val="0"/>
        </w:trPr>
        <w:tc>
          <w:tcPr>
            <w:tcW w:w="4910" w:type="dxa"/>
          </w:tcPr>
          <w:p>
            <w:pPr/>
            <w:r>
              <w:t xml:space="preserve">4</w:t>
            </w:r>
          </w:p>
        </w:tc>
        <w:tc>
          <w:tcPr>
            <w:tcW w:w="4910" w:type="dxa"/>
          </w:tcPr>
          <w:p>
            <w:pPr/>
            <w:r>
              <w:t xml:space="preserve">蒙对率检验：用 tests/calibration/guessed.md 跑判分</w:t>
            </w:r>
          </w:p>
        </w:tc>
        <w:tc>
          <w:tcPr>
            <w:tcW w:w="4924" w:type="dxa"/>
          </w:tcPr>
          <w:p>
            <w:pPr/>
            <w:r>
              <w:t xml:space="preserve">主分 ≤ 0.30。若「语法正确语义错」的提交能拿到及格分，说明题目不是 Code Sense，整题重写</w:t>
            </w:r>
          </w:p>
        </w:tc>
      </w:tr>
      <w:tr>
        <w:trPr>
          <w:trHeight w:val="0"/>
        </w:trPr>
        <w:tc>
          <w:tcPr>
            <w:tcW w:w="4910" w:type="dxa"/>
          </w:tcPr>
          <w:p>
            <w:pPr/>
            <w:r>
              <w:t xml:space="preserve">5</w:t>
            </w:r>
          </w:p>
        </w:tc>
        <w:tc>
          <w:tcPr>
            <w:tcW w:w="4910" w:type="dxa"/>
          </w:tcPr>
          <w:p>
            <w:pPr/>
            <w:r>
              <w:t xml:space="preserve">误杀检验：用 tests/calibration/equivalent.md 跑判分</w:t>
            </w:r>
          </w:p>
        </w:tc>
        <w:tc>
          <w:tcPr>
            <w:tcW w:w="4924" w:type="dxa"/>
          </w:tcPr>
          <w:p>
            <w:pPr/>
            <w:r>
              <w:t xml:space="preserve">主分 ≥ 0.90，且未触发任何 gating UT</w:t>
            </w:r>
          </w:p>
        </w:tc>
      </w:tr>
      <w:tr>
        <w:trPr>
          <w:trHeight w:val="0"/>
        </w:trPr>
        <w:tc>
          <w:tcPr>
            <w:tcW w:w="4910" w:type="dxa"/>
          </w:tcPr>
          <w:p>
            <w:pPr/>
            <w:r>
              <w:t xml:space="preserve">6</w:t>
            </w:r>
          </w:p>
        </w:tc>
        <w:tc>
          <w:tcPr>
            <w:tcW w:w="4910" w:type="dxa"/>
          </w:tcPr>
          <w:p>
            <w:pPr/>
            <w:r>
              <w:t xml:space="preserve">满分基准：用 tests/calibration/full_score.md 跑判分</w:t>
            </w:r>
          </w:p>
        </w:tc>
        <w:tc>
          <w:tcPr>
            <w:tcW w:w="4924" w:type="dxa"/>
          </w:tcPr>
          <w:p>
            <w:pPr/>
            <w:r>
              <w:t xml:space="preserve">主分 = 1.0，无 gating 失败</w:t>
            </w:r>
          </w:p>
        </w:tc>
      </w:tr>
      <w:tr>
        <w:trPr>
          <w:trHeight w:val="0"/>
        </w:trPr>
        <w:tc>
          <w:tcPr>
            <w:tcW w:w="4910" w:type="dxa"/>
          </w:tcPr>
          <w:p>
            <w:pPr/>
            <w:r>
              <w:t xml:space="preserve">7</w:t>
            </w:r>
          </w:p>
        </w:tc>
        <w:tc>
          <w:tcPr>
            <w:tcW w:w="4910" w:type="dxa"/>
          </w:tcPr>
          <w:p>
            <w:pPr/>
            <w:r>
              <w:t xml:space="preserve">缺陷识别：用 tests/calibration/defective.md 跑判分</w:t>
            </w:r>
          </w:p>
        </w:tc>
        <w:tc>
          <w:tcPr>
            <w:tcW w:w="4924" w:type="dxa"/>
          </w:tcPr>
          <w:p>
            <w:pPr/>
            <w:r>
              <w:t xml:space="preserve">每处埋入缺陷都被对应 UT 捕获失败，结果单与实际判定一致</w:t>
            </w:r>
          </w:p>
        </w:tc>
      </w:tr>
      <w:tr>
        <w:trPr>
          <w:trHeight w:val="0"/>
        </w:trPr>
        <w:tc>
          <w:tcPr>
            <w:tcW w:w="4910" w:type="dxa"/>
          </w:tcPr>
          <w:p>
            <w:pPr/>
            <w:r>
              <w:t xml:space="preserve">8</w:t>
            </w:r>
          </w:p>
        </w:tc>
        <w:tc>
          <w:tcPr>
            <w:tcW w:w="4910" w:type="dxa"/>
          </w:tcPr>
          <w:p>
            <w:pPr/>
            <w:r>
              <w:t xml:space="preserve">判分确定性：四份校准提交各连跑 3 次</w:t>
            </w:r>
          </w:p>
        </w:tc>
        <w:tc>
          <w:tcPr>
            <w:tcW w:w="4924" w:type="dxa"/>
          </w:tcPr>
          <w:p>
            <w:pPr/>
            <w:r>
              <w:t xml:space="preserve">逐条 UT 通过/失败与 gating 判定 100% 一致（全程程序化，不调用 LLM）</w:t>
            </w:r>
          </w:p>
        </w:tc>
      </w:tr>
      <w:tr>
        <w:trPr>
          <w:trHeight w:val="0"/>
        </w:trPr>
        <w:tc>
          <w:tcPr>
            <w:tcW w:w="4910" w:type="dxa"/>
          </w:tcPr>
          <w:p>
            <w:pPr/>
            <w:r>
              <w:t xml:space="preserve">9</w:t>
            </w:r>
          </w:p>
        </w:tc>
        <w:tc>
          <w:tcPr>
            <w:tcW w:w="4910" w:type="dxa"/>
          </w:tcPr>
          <w:p>
            <w:pPr/>
            <w:r>
              <w:t xml:space="preserve">模型错误模式取证：model_failure_modes 逐条</w:t>
            </w:r>
          </w:p>
        </w:tc>
        <w:tc>
          <w:tcPr>
            <w:tcW w:w="4924" w:type="dxa"/>
          </w:tcPr>
          <w:p>
            <w:pPr/>
            <w:r>
              <w:t xml:space="preserve">每条附至少 1 份真实模型答卷片段，标注模型名与日期</w:t>
            </w:r>
          </w:p>
        </w:tc>
      </w:tr>
      <w:tr>
        <w:trPr>
          <w:trHeight w:val="0"/>
        </w:trPr>
        <w:tc>
          <w:tcPr>
            <w:tcW w:w="4910" w:type="dxa"/>
          </w:tcPr>
          <w:p>
            <w:pPr/>
            <w:r>
              <w:t xml:space="preserve">10</w:t>
            </w:r>
          </w:p>
        </w:tc>
        <w:tc>
          <w:tcPr>
            <w:tcW w:w="4910" w:type="dxa"/>
          </w:tcPr>
          <w:p>
            <w:pPr/>
            <w:r>
              <w:t xml:space="preserve">基线模型试测：见 §3.6</w:t>
            </w:r>
          </w:p>
        </w:tc>
        <w:tc>
          <w:tcPr>
            <w:tcW w:w="4924" w:type="dxa"/>
          </w:tcPr>
          <w:p>
            <w:pPr/>
            <w:r>
              <w:t xml:space="preserve">四模型均分与区分度满足阈值</w:t>
            </w:r>
          </w:p>
        </w:tc>
      </w:tr>
      <w:tr>
        <w:trPr>
          <w:trHeight w:val="0"/>
        </w:trPr>
        <w:tc>
          <w:tcPr>
            <w:tcW w:w="4910" w:type="dxa"/>
          </w:tcPr>
          <w:p>
            <w:pPr/>
            <w:r>
              <w:t xml:space="preserve">11</w:t>
            </w:r>
          </w:p>
        </w:tc>
        <w:tc>
          <w:tcPr>
            <w:tcW w:w="4910" w:type="dxa"/>
          </w:tcPr>
          <w:p>
            <w:pPr/>
            <w:r>
              <w:t xml:space="preserve">隔离检查：solution/ / tests/ 内容</w:t>
            </w:r>
          </w:p>
        </w:tc>
        <w:tc>
          <w:tcPr>
            <w:tcW w:w="4924" w:type="dxa"/>
          </w:tcPr>
          <w:p>
            <w:pPr/>
            <w:r>
              <w:t xml:space="preserve">不出现在 instruction.md/workspace 与任何模型可见路径中；instruction.md/workspace 内容不含参考答案、陷阱名称或结论线索</w:t>
            </w:r>
          </w:p>
        </w:tc>
      </w:tr>
    </w:tbl>
    <w:p>
      <w:bookmarkStart w:id="mtr6dx38sj9ugjkezrp" w:name="mtr6dx38sj9ugjkezrp"/>
      <w:pPr>
        <w:pStyle w:val="dingding-heading3"/>
      </w:pPr>
      <w:r>
        <w:t xml:space="preserve">3.6 基线模型试测</w:t>
      </w:r>
      <w:bookmarkEnd w:id="mtr6dx38sj9ugjkezrp"/>
    </w:p>
    <w:p>
      <w:pPr/>
      <w:r>
        <w:t xml:space="preserve">每道题须在提交前完成基线试测并交付原始日志（tests/assets/baseline_runs/）。</w:t>
      </w:r>
    </w:p>
    <w:tbl>
      <w:tblPr>
        <w:tblStyle w:val="tableHeader"/>
        <w:tblW w:w="0" w:type="pct"/>
        <w:tblLook w:firstRow="1" w:lastRow="0" w:firstColumn="0" w:lastColumn="0" w:noHBand="0" w:noVBand="0"/>
      </w:tblPr>
      <w:tblGrid>
        <w:gridCol w:w="7372"/>
        <w:gridCol w:w="7372"/>
      </w:tblGrid>
      <w:tr>
        <w:trPr>
          <w:trHeight w:val="0"/>
        </w:trPr>
        <w:tc>
          <w:tcPr>
            <w:tcW w:w="7372" w:type="dxa"/>
          </w:tcPr>
          <w:p>
            <w:pPr/>
            <w:r>
              <w:t xml:space="preserve">项</w:t>
            </w:r>
          </w:p>
        </w:tc>
        <w:tc>
          <w:tcPr>
            <w:tcW w:w="7372" w:type="dxa"/>
          </w:tcPr>
          <w:p>
            <w:pPr/>
            <w:r>
              <w:t xml:space="preserve">要求</w:t>
            </w:r>
          </w:p>
        </w:tc>
      </w:tr>
      <w:tr>
        <w:trPr>
          <w:trHeight w:val="0"/>
        </w:trPr>
        <w:tc>
          <w:tcPr>
            <w:tcW w:w="7372" w:type="dxa"/>
          </w:tcPr>
          <w:p>
            <w:pPr/>
            <w:r>
              <w:t xml:space="preserve">基线模型</w:t>
            </w:r>
          </w:p>
        </w:tc>
        <w:tc>
          <w:tcPr>
            <w:tcW w:w="7372" w:type="dxa"/>
          </w:tcPr>
          <w:p>
            <w:pPr/>
            <w:r>
              <w:t xml:space="preserve">在统一评测框架（Claude Code）下，以 </w:t>
            </w:r>
            <w:r>
              <w:rPr>
                <w:b w:val="1"/>
              </w:rPr>
              <w:t xml:space="preserve">Qwen3.8-max、GLM-</w:t>
            </w:r>
            <w:r>
              <w:rPr>
                <w:b w:val="1"/>
              </w:rPr>
              <w:t xml:space="preserve">5.3</w:t>
            </w:r>
            <w:r>
              <w:rPr>
                <w:b w:val="1"/>
              </w:rPr>
              <w:t xml:space="preserve">、kimi-k3、Claude opus 5</w:t>
            </w:r>
            <w:r>
              <w:t xml:space="preserve"> 四个模型为待测模型</w:t>
            </w:r>
          </w:p>
        </w:tc>
      </w:tr>
      <w:tr>
        <w:trPr>
          <w:trHeight w:val="0"/>
        </w:trPr>
        <w:tc>
          <w:tcPr>
            <w:tcW w:w="7372" w:type="dxa"/>
          </w:tcPr>
          <w:p>
            <w:pPr/>
            <w:r>
              <w:t xml:space="preserve">试测轮数</w:t>
            </w:r>
          </w:p>
        </w:tc>
        <w:tc>
          <w:tcPr>
            <w:tcW w:w="7372" w:type="dxa"/>
          </w:tcPr>
          <w:p>
            <w:pPr/>
            <w:r>
              <w:t xml:space="preserve">每模型每题跑 </w:t>
            </w:r>
            <w:r>
              <w:rPr>
                <w:b w:val="1"/>
              </w:rPr>
              <w:t xml:space="preserve">4 次</w:t>
            </w:r>
            <w:r>
              <w:t xml:space="preserve">，取主分均值</w:t>
            </w:r>
          </w:p>
        </w:tc>
      </w:tr>
      <w:tr>
        <w:trPr>
          <w:trHeight w:val="0"/>
        </w:trPr>
        <w:tc>
          <w:tcPr>
            <w:tcW w:w="7372" w:type="dxa"/>
          </w:tcPr>
          <w:p>
            <w:pPr/>
            <w:r>
              <w:t xml:space="preserve">单题均分要求</w:t>
            </w:r>
          </w:p>
        </w:tc>
        <w:tc>
          <w:tcPr>
            <w:tcW w:w="7372" w:type="dxa"/>
          </w:tcPr>
          <w:p>
            <w:pPr/>
            <w:r>
              <w:t xml:space="preserve">四家在该题上的主分均值 </w:t>
            </w:r>
            <w:r>
              <w:rPr>
                <w:b w:val="1"/>
              </w:rPr>
              <w:t xml:space="preserve">&lt; 50%</w:t>
            </w:r>
            <w:r>
              <w:t xml:space="preserve">。该阈值须在 A 批 10 题实测后回校</w:t>
            </w:r>
          </w:p>
        </w:tc>
      </w:tr>
      <w:tr>
        <w:trPr>
          <w:trHeight w:val="0"/>
        </w:trPr>
        <w:tc>
          <w:tcPr>
            <w:tcW w:w="7372" w:type="dxa"/>
          </w:tcPr>
          <w:p>
            <w:pPr/>
            <w:r>
              <w:t xml:space="preserve">区分度</w:t>
            </w:r>
          </w:p>
        </w:tc>
        <w:tc>
          <w:tcPr>
            <w:tcW w:w="7372" w:type="dxa"/>
          </w:tcPr>
          <w:p>
            <w:pPr/>
            <w:r>
              <w:t xml:space="preserve">四家模型主分的</w:t>
            </w:r>
            <w:r>
              <w:rPr>
                <w:b w:val="1"/>
              </w:rPr>
              <w:t xml:space="preserve">最高值与最低值之差 ≥</w:t>
            </w:r>
            <w:r>
              <w:t xml:space="preserve"> </w:t>
            </w:r>
            <w:r>
              <w:rPr>
                <w:b w:val="1"/>
              </w:rPr>
              <w:t xml:space="preserve">20</w:t>
            </w:r>
            <w:r>
              <w:t xml:space="preserve"> </w:t>
            </w:r>
            <w:r>
              <w:rPr>
                <w:b w:val="1"/>
              </w:rPr>
              <w:t xml:space="preserve">个百分点</w:t>
            </w:r>
            <w:r>
              <w:t xml:space="preserve">，且不得四家全为 0。全 0 说明题目不可解或 UT 有问题；无区分度说明陷阱过于显眼或过于隐蔽</w:t>
            </w:r>
            <w:r>
              <w:br w:type="textWrapping"/>
            </w:r>
            <w:r>
              <w:t xml:space="preserve">理论上 opus 最高</w:t>
            </w:r>
          </w:p>
        </w:tc>
      </w:tr>
      <w:tr>
        <w:trPr>
          <w:trHeight w:val="0"/>
        </w:trPr>
        <w:tc>
          <w:tcPr>
            <w:tcW w:w="7372" w:type="dxa"/>
          </w:tcPr>
          <w:p>
            <w:pPr/>
            <w:r>
              <w:t xml:space="preserve">判分稳定性</w:t>
            </w:r>
          </w:p>
        </w:tc>
        <w:tc>
          <w:tcPr>
            <w:tcW w:w="7372" w:type="dxa"/>
          </w:tcPr>
          <w:p>
            <w:pPr/>
            <w:r>
              <w:t xml:space="preserve">同一份答卷同一 UT 套件连跑 4 次，逐条 UT 与 gating 判定完全一致（见 §3.4）；全程程序化 UT，不得依赖 LLM、时间、随机数或网络</w:t>
            </w:r>
          </w:p>
        </w:tc>
      </w:tr>
    </w:tbl>
    <w:p>
      <w:bookmarkStart w:id="mtr6dx3ak14kl5z8zki" w:name="mtr6dx3ak14kl5z8zki"/>
      <w:pPr>
        <w:pStyle w:val="dingding-heading3"/>
      </w:pPr>
      <w:r>
        <w:t xml:space="preserve">3.7 包外交付材料</w:t>
      </w:r>
      <w:bookmarkEnd w:id="mtr6dx3ak14kl5z8zki"/>
    </w:p>
    <w:p>
      <w:pPr/>
      <w:r>
        <w:t xml:space="preserve">除五件套题包外，每道题还须提供包外材料，且不得暴露给被测模型：</w:t>
      </w:r>
    </w:p>
    <w:p>
      <w:pPr>
        <w:numPr>
          <w:ilvl w:val="0"/>
          <w:numId w:val="26"/>
        </w:numPr>
      </w:pPr>
      <w:r>
        <w:t xml:space="preserve">结构化 UT 清单（tests/ 下 UT 的说明性副本，含每个 UT 的设计理由与 dimension/gating）；</w:t>
      </w:r>
    </w:p>
    <w:p>
      <w:pPr>
        <w:numPr>
          <w:ilvl w:val="0"/>
          <w:numId w:val="27"/>
        </w:numPr>
      </w:pPr>
      <w:r>
        <w:t xml:space="preserve">题面—UT—证据映射表（哪个 UT 对应 prompt 的哪个要求、依赖 golden/改动点的哪一部分）；</w:t>
      </w:r>
    </w:p>
    <w:p>
      <w:pPr>
        <w:numPr>
          <w:ilvl w:val="0"/>
          <w:numId w:val="28"/>
        </w:numPr>
      </w:pPr>
      <w:r>
        <w:t xml:space="preserve">陷阱反例程序、运行日志与复现率统计；</w:t>
      </w:r>
    </w:p>
    <w:p>
      <w:pPr>
        <w:numPr>
          <w:ilvl w:val="0"/>
          <w:numId w:val="28"/>
        </w:numPr>
      </w:pPr>
      <w:r/>
      <w:r>
        <w:rPr>
          <w:shd w:val="clear" w:color="auto" w:fill="F0F1F1"/>
        </w:rPr>
        <w:t xml:space="preserve">model_failure_modes</w:t>
      </w:r>
      <w:r>
        <w:t xml:space="preserve"> 的真实模型答卷证据（标注模型名、日期、完整上下文）；</w:t>
      </w:r>
    </w:p>
    <w:p>
      <w:pPr>
        <w:numPr>
          <w:ilvl w:val="0"/>
          <w:numId w:val="28"/>
        </w:numPr>
      </w:pPr>
      <w:r>
        <w:t xml:space="preserve">基线模型试测原始日志与均分/区分度统计；</w:t>
      </w:r>
    </w:p>
    <w:p>
      <w:pPr>
        <w:numPr>
          <w:ilvl w:val="0"/>
          <w:numId w:val="28"/>
        </w:numPr>
      </w:pPr>
      <w:r>
        <w:t xml:space="preserve">标杆打分四件套及逐条打分单；</w:t>
      </w:r>
    </w:p>
    <w:p>
      <w:pPr>
        <w:numPr>
          <w:ilvl w:val="0"/>
          <w:numId w:val="28"/>
        </w:numPr>
      </w:pPr>
      <w:r>
        <w:t xml:space="preserve">来源、许可证、脱敏范围、重复与泄漏自查（须包含对公开 benchmark 的相似度自查说明）；</w:t>
      </w:r>
    </w:p>
    <w:p>
      <w:pPr>
        <w:numPr>
          <w:ilvl w:val="0"/>
          <w:numId w:val="28"/>
        </w:numPr>
      </w:pPr>
      <w:r>
        <w:t xml:space="preserve">已知限制、判分稳定性结果与判定争议记录；</w:t>
      </w:r>
    </w:p>
    <w:p>
      <w:pPr>
        <w:numPr>
          <w:ilvl w:val="0"/>
          <w:numId w:val="28"/>
        </w:numPr>
      </w:pPr>
      <w:r>
        <w:t xml:space="preserve">供应商自检结论和数据定制生产需求方重点复核项。</w:t>
      </w:r>
    </w:p>
    <w:p>
      <w:bookmarkStart w:id="mtr6dx3e67f8qywbubw" w:name="mtr6dx3e67f8qywbubw"/>
      <w:pPr>
        <w:pStyle w:val="dingding-heading3"/>
      </w:pPr>
      <w:r>
        <w:t xml:space="preserve">3.8 Golden 运行态物证规范</w:t>
      </w:r>
      <w:bookmarkEnd w:id="mtr6dx3e67f8qywbubw"/>
    </w:p>
    <w:p>
      <w:pPr/>
      <w:r>
        <w:t xml:space="preserve">Golden（参考答案）不能只提供预期结论的文字描述，必须提供可执行、可复现的运行态物证。供应商须按以下清单交付：</w:t>
      </w:r>
    </w:p>
    <w:tbl>
      <w:tblPr>
        <w:tblStyle w:val="tableHeader"/>
        <w:tblW w:w="0" w:type="pct"/>
        <w:tblLook w:firstRow="1" w:lastRow="0" w:firstColumn="0" w:lastColumn="0" w:noHBand="0" w:noVBand="0"/>
      </w:tblPr>
      <w:tblGrid>
        <w:gridCol w:w="4910"/>
        <w:gridCol w:w="4910"/>
        <w:gridCol w:w="4924"/>
      </w:tblGrid>
      <w:tr>
        <w:trPr>
          <w:trHeight w:val="0"/>
        </w:trPr>
        <w:tc>
          <w:tcPr>
            <w:tcW w:w="4910" w:type="dxa"/>
          </w:tcPr>
          <w:p>
            <w:pPr/>
            <w:r>
              <w:t xml:space="preserve">层面</w:t>
            </w:r>
          </w:p>
        </w:tc>
        <w:tc>
          <w:tcPr>
            <w:tcW w:w="4910" w:type="dxa"/>
          </w:tcPr>
          <w:p>
            <w:pPr/>
            <w:r>
              <w:t xml:space="preserve">交付信息</w:t>
            </w:r>
          </w:p>
        </w:tc>
        <w:tc>
          <w:tcPr>
            <w:tcW w:w="4924" w:type="dxa"/>
          </w:tcPr>
          <w:p>
            <w:pPr/>
            <w:r>
              <w:t xml:space="preserve">硬核证据</w:t>
            </w:r>
          </w:p>
        </w:tc>
      </w:tr>
      <w:tr>
        <w:trPr>
          <w:trHeight w:val="0"/>
        </w:trPr>
        <w:tc>
          <w:tcPr>
            <w:tcW w:w="4910" w:type="dxa"/>
          </w:tcPr>
          <w:p>
            <w:pPr/>
            <w:r>
              <w:t xml:space="preserve">参考答案</w:t>
            </w:r>
          </w:p>
        </w:tc>
        <w:tc>
          <w:tcPr>
            <w:tcW w:w="4910" w:type="dxa"/>
          </w:tcPr>
          <w:p>
            <w:pPr/>
            <w:r>
              <w:t xml:space="preserve">每轮 </w:t>
            </w:r>
            <w:r>
              <w:rPr>
                <w:shd w:val="clear" w:color="auto" w:fill="F0F1F1"/>
              </w:rPr>
              <w:t xml:space="preserve">reference_answer</w:t>
            </w:r>
            <w:r>
              <w:t xml:space="preserve"> 全文</w:t>
            </w:r>
          </w:p>
        </w:tc>
        <w:tc>
          <w:tcPr>
            <w:tcW w:w="4924" w:type="dxa"/>
          </w:tcPr>
          <w:p>
            <w:pPr/>
            <w:r>
              <w:t xml:space="preserve">含可执行代码的部分：实际运行的 stdout/stderr + 解释器/编译器版本 + 平台标识</w:t>
            </w:r>
          </w:p>
        </w:tc>
      </w:tr>
      <w:tr>
        <w:trPr>
          <w:trHeight w:val="0"/>
        </w:trPr>
        <w:tc>
          <w:tcPr>
            <w:tcW w:w="4910" w:type="dxa"/>
          </w:tcPr>
          <w:p>
            <w:pPr/>
            <w:r>
              <w:t xml:space="preserve">改动点锚定</w:t>
            </w:r>
          </w:p>
        </w:tc>
        <w:tc>
          <w:tcPr>
            <w:tcW w:w="4910" w:type="dxa"/>
          </w:tcPr>
          <w:p>
            <w:pPr/>
            <w:r>
              <w:t xml:space="preserve">每处 </w:t>
            </w:r>
            <w:r>
              <w:rPr>
                <w:shd w:val="clear" w:color="auto" w:fill="F0F1F1"/>
              </w:rPr>
              <w:t xml:space="preserve">change_points</w:t>
            </w:r>
            <w:r/>
          </w:p>
        </w:tc>
        <w:tc>
          <w:tcPr>
            <w:tcW w:w="4924" w:type="dxa"/>
          </w:tcPr>
          <w:p>
            <w:pPr/>
            <w:r>
              <w:t xml:space="preserve">指向 </w:t>
            </w:r>
            <w:r>
              <w:rPr>
                <w:shd w:val="clear" w:color="auto" w:fill="F0F1F1"/>
              </w:rPr>
              <w:t xml:space="preserve">reference_answer</w:t>
            </w:r>
            <w:r>
              <w:t xml:space="preserve"> 中的具体位置（行号或片段引用），并对应至少一个 UT</w:t>
            </w:r>
          </w:p>
        </w:tc>
      </w:tr>
      <w:tr>
        <w:trPr>
          <w:trHeight w:val="0"/>
        </w:trPr>
        <w:tc>
          <w:tcPr>
            <w:tcW w:w="4910" w:type="dxa"/>
          </w:tcPr>
          <w:p>
            <w:pPr/>
            <w:r>
              <w:t xml:space="preserve">可接受变体</w:t>
            </w:r>
          </w:p>
        </w:tc>
        <w:tc>
          <w:tcPr>
            <w:tcW w:w="4910" w:type="dxa"/>
          </w:tcPr>
          <w:p>
            <w:pPr/>
            <w:r>
              <w:t xml:space="preserve">≥2 个功能等价、写法不同的实现</w:t>
            </w:r>
          </w:p>
        </w:tc>
        <w:tc>
          <w:tcPr>
            <w:tcW w:w="4924" w:type="dxa"/>
          </w:tcPr>
          <w:p>
            <w:pPr/>
            <w:r>
              <w:t xml:space="preserve">各自的实际运行输出；给出「为什么与参考答案语义等价」的逐点论证；须能通过同一组非 gating UT</w:t>
            </w:r>
          </w:p>
        </w:tc>
      </w:tr>
      <w:tr>
        <w:trPr>
          <w:trHeight w:val="0"/>
        </w:trPr>
        <w:tc>
          <w:tcPr>
            <w:tcW w:w="4910" w:type="dxa"/>
          </w:tcPr>
          <w:p>
            <w:pPr/>
            <w:r>
              <w:t xml:space="preserve">陷阱可证性</w:t>
            </w:r>
          </w:p>
        </w:tc>
        <w:tc>
          <w:tcPr>
            <w:tcW w:w="4910" w:type="dxa"/>
          </w:tcPr>
          <w:p>
            <w:pPr/>
            <w:r>
              <w:t xml:space="preserve">陷阱的实际后果</w:t>
            </w:r>
          </w:p>
        </w:tc>
        <w:tc>
          <w:tcPr>
            <w:tcW w:w="4924" w:type="dxa"/>
          </w:tcPr>
          <w:p>
            <w:pPr/>
            <w:r>
              <w:t xml:space="preserve">反例程序源码 + 实际触发陷阱的运行日志；概率性陷阱附 N 次运行的触发率</w:t>
            </w:r>
          </w:p>
        </w:tc>
      </w:tr>
      <w:tr>
        <w:trPr>
          <w:trHeight w:val="0"/>
        </w:trPr>
        <w:tc>
          <w:tcPr>
            <w:tcW w:w="4910" w:type="dxa"/>
          </w:tcPr>
          <w:p>
            <w:pPr/>
            <w:r>
              <w:t xml:space="preserve">反例边界</w:t>
            </w:r>
          </w:p>
        </w:tc>
        <w:tc>
          <w:tcPr>
            <w:tcW w:w="4910" w:type="dxa"/>
          </w:tcPr>
          <w:p>
            <w:pPr/>
            <w:r>
              <w:t xml:space="preserve">「看似正确但不满足约束」的写法</w:t>
            </w:r>
          </w:p>
        </w:tc>
        <w:tc>
          <w:tcPr>
            <w:tcW w:w="4924" w:type="dxa"/>
          </w:tcPr>
          <w:p>
            <w:pPr/>
            <w:r>
              <w:t xml:space="preserve">≥1 个「能跑但语义错」的实现 + 其运行输出 + 为什么不满足约束的论证</w:t>
            </w:r>
          </w:p>
        </w:tc>
      </w:tr>
      <w:tr>
        <w:trPr>
          <w:trHeight w:val="0"/>
        </w:trPr>
        <w:tc>
          <w:tcPr>
            <w:tcW w:w="4910" w:type="dxa"/>
          </w:tcPr>
          <w:p>
            <w:pPr/>
            <w:r>
              <w:t xml:space="preserve">模型错误模式</w:t>
            </w:r>
          </w:p>
        </w:tc>
        <w:tc>
          <w:tcPr>
            <w:tcW w:w="4910" w:type="dxa"/>
          </w:tcPr>
          <w:p>
            <w:pPr/>
            <w:r>
              <w:t xml:space="preserve">每条 </w:t>
            </w:r>
            <w:r>
              <w:rPr>
                <w:shd w:val="clear" w:color="auto" w:fill="F0F1F1"/>
              </w:rPr>
              <w:t xml:space="preserve">model_failure_modes</w:t>
            </w:r>
            <w:r/>
          </w:p>
        </w:tc>
        <w:tc>
          <w:tcPr>
            <w:tcW w:w="4924" w:type="dxa"/>
          </w:tcPr>
          <w:p>
            <w:pPr/>
            <w:r>
              <w:t xml:space="preserve">≥1 份真实模型答卷片段，标注模型名与采集日期</w:t>
            </w:r>
          </w:p>
        </w:tc>
      </w:tr>
      <w:tr>
        <w:trPr>
          <w:trHeight w:val="0"/>
        </w:trPr>
        <w:tc>
          <w:tcPr>
            <w:tcW w:w="4910" w:type="dxa"/>
          </w:tcPr>
          <w:p>
            <w:pPr/>
            <w:r>
              <w:t xml:space="preserve">误杀检验</w:t>
            </w:r>
          </w:p>
        </w:tc>
        <w:tc>
          <w:tcPr>
            <w:tcW w:w="4910" w:type="dxa"/>
          </w:tcPr>
          <w:p>
            <w:pPr/>
            <w:r>
              <w:t xml:space="preserve">合理非参考答案</w:t>
            </w:r>
          </w:p>
        </w:tc>
        <w:tc>
          <w:tcPr>
            <w:tcW w:w="4924" w:type="dxa"/>
          </w:tcPr>
          <w:p>
            <w:pPr/>
            <w:r>
              <w:t xml:space="preserve">≥1 份功能等价、结构不同的提交，经 UT 判定应得主分 ≥ 0.90</w:t>
            </w:r>
          </w:p>
        </w:tc>
      </w:tr>
      <w:tr>
        <w:trPr>
          <w:trHeight w:val="0"/>
        </w:trPr>
        <w:tc>
          <w:tcPr>
            <w:tcW w:w="4910" w:type="dxa"/>
          </w:tcPr>
          <w:p>
            <w:pPr/>
            <w:r>
              <w:t xml:space="preserve">边界声明</w:t>
            </w:r>
          </w:p>
        </w:tc>
        <w:tc>
          <w:tcPr>
            <w:tcW w:w="4910" w:type="dxa"/>
          </w:tcPr>
          <w:p>
            <w:pPr/>
            <w:r>
              <w:t xml:space="preserve">不在考察范围内、不纳入 UT 断言的行为</w:t>
            </w:r>
          </w:p>
        </w:tc>
        <w:tc>
          <w:tcPr>
            <w:tcW w:w="4924" w:type="dxa"/>
          </w:tcPr>
          <w:p>
            <w:pPr/>
            <w:r>
              <w:t xml:space="preserve">逐条列出，并说明为什么排除</w:t>
            </w:r>
          </w:p>
        </w:tc>
      </w:tr>
    </w:tbl>
    <w:p>
      <w:pPr/>
      <w:r>
        <w:t xml:space="preserve">以上证据在验收阶段由评测方逐项核验。缺失任一项或与 Golden 声明不一致，按退修处理。</w:t>
      </w:r>
    </w:p>
    <w:p>
      <w:bookmarkStart w:id="mtr6dx3gza7k62id8n" w:name="mtr6dx3gza7k62id8n"/>
      <w:pPr>
        <w:pStyle w:val="dingding-heading3"/>
      </w:pPr>
      <w:r>
        <w:t xml:space="preserve">3.9 打包规则</w:t>
      </w:r>
      <w:bookmarkEnd w:id="mtr6dx3gza7k62id8n"/>
    </w:p>
    <w:p>
      <w:pPr>
        <w:numPr>
          <w:ilvl w:val="0"/>
          <w:numId w:val="29"/>
        </w:numPr>
      </w:pPr>
      <w:r>
        <w:t xml:space="preserve">使用 </w:t>
      </w:r>
      <w:r>
        <w:rPr>
          <w:shd w:val="clear" w:color="auto" w:fill="F0F1F1"/>
        </w:rPr>
        <w:t xml:space="preserve">.tar.gz</w:t>
      </w:r>
      <w:r>
        <w:t xml:space="preserve"> 或 </w:t>
      </w:r>
      <w:r>
        <w:rPr>
          <w:shd w:val="clear" w:color="auto" w:fill="F0F1F1"/>
        </w:rPr>
        <w:t xml:space="preserve">.zip</w:t>
      </w:r>
      <w:r>
        <w:t xml:space="preserve">；具体格式以平台冻结的样例包为准；</w:t>
      </w:r>
    </w:p>
    <w:p>
      <w:pPr>
        <w:numPr>
          <w:ilvl w:val="0"/>
          <w:numId w:val="30"/>
        </w:numPr>
      </w:pPr>
      <w:r>
        <w:t xml:space="preserve">单题命名：</w:t>
      </w:r>
      <w:r>
        <w:rPr>
          <w:shd w:val="clear" w:color="auto" w:fill="F0F1F1"/>
        </w:rPr>
        <w:t xml:space="preserve">&lt;供应商代号&gt;-codesense-&lt;题目编号&gt;-&lt;日期&gt;</w:t>
      </w:r>
      <w:r>
        <w:t xml:space="preserve">；整批命名：</w:t>
      </w:r>
      <w:r>
        <w:rPr>
          <w:shd w:val="clear" w:color="auto" w:fill="F0F1F1"/>
        </w:rPr>
        <w:t xml:space="preserve">&lt;供应商代号&gt;-codesense-&lt;批次&gt;-&lt;日期&gt;</w:t>
      </w:r>
      <w:r>
        <w:t xml:space="preserve">；</w:t>
      </w:r>
    </w:p>
    <w:p>
      <w:pPr>
        <w:numPr>
          <w:ilvl w:val="0"/>
          <w:numId w:val="29"/>
        </w:numPr>
      </w:pPr>
      <w:r>
        <w:t xml:space="preserve">打包前清理 </w:t>
      </w:r>
      <w:r>
        <w:rPr>
          <w:shd w:val="clear" w:color="auto" w:fill="F0F1F1"/>
        </w:rPr>
        <w:t xml:space="preserve">._*</w:t>
      </w:r>
      <w:r>
        <w:t xml:space="preserve">、</w:t>
      </w:r>
      <w:r>
        <w:rPr>
          <w:shd w:val="clear" w:color="auto" w:fill="F0F1F1"/>
        </w:rPr>
        <w:t xml:space="preserve">.DS_Store</w:t>
      </w:r>
      <w:r>
        <w:t xml:space="preserve">、</w:t>
      </w:r>
      <w:r>
        <w:rPr>
          <w:shd w:val="clear" w:color="auto" w:fill="F0F1F1"/>
        </w:rPr>
        <w:t xml:space="preserve">__MACOSX/</w:t>
      </w:r>
      <w:r>
        <w:t xml:space="preserve">、</w:t>
      </w:r>
      <w:r>
        <w:rPr>
          <w:shd w:val="clear" w:color="auto" w:fill="F0F1F1"/>
        </w:rPr>
        <w:t xml:space="preserve">__pycache__/</w:t>
      </w:r>
      <w:r>
        <w:t xml:space="preserve">、缓存、日志、构建产物、密钥和无关文件；</w:t>
      </w:r>
    </w:p>
    <w:p>
      <w:pPr>
        <w:numPr>
          <w:ilvl w:val="0"/>
          <w:numId w:val="29"/>
        </w:numPr>
      </w:pPr>
      <w:r>
        <w:t xml:space="preserve">所有文本文件使用 UTF-8、LF 换行；单个文件名 ≤ 200 字节，无控制字符；</w:t>
      </w:r>
    </w:p>
    <w:p>
      <w:pPr>
        <w:numPr>
          <w:ilvl w:val="0"/>
          <w:numId w:val="29"/>
        </w:numPr>
      </w:pPr>
      <w:r>
        <w:t xml:space="preserve">题包任何位置</w:t>
      </w:r>
      <w:r>
        <w:rPr>
          <w:b w:val="1"/>
        </w:rPr>
        <w:t xml:space="preserve">无真实密钥 / token / 凭证</w:t>
      </w:r>
      <w:r>
        <w:t xml:space="preserve">；需要时用占位符（如 </w:t>
      </w:r>
      <w:r>
        <w:rPr>
          <w:shd w:val="clear" w:color="auto" w:fill="F0F1F1"/>
        </w:rPr>
        <w:t xml:space="preserve">&lt;API_KEY&gt;</w:t>
      </w:r>
      <w:r>
        <w:t xml:space="preserve">）并在题面说明；</w:t>
      </w:r>
    </w:p>
    <w:p>
      <w:pPr>
        <w:numPr>
          <w:ilvl w:val="0"/>
          <w:numId w:val="29"/>
        </w:numPr>
      </w:pPr>
      <w:r>
        <w:t xml:space="preserve">压缩包文件名、题目编号、task.toml 的 [metadata].task_id 和批次清单必须一致；</w:t>
      </w:r>
    </w:p>
    <w:p>
      <w:pPr>
        <w:numPr>
          <w:ilvl w:val="0"/>
          <w:numId w:val="29"/>
        </w:numPr>
      </w:pPr>
      <w:r>
        <w:t xml:space="preserve">Pilot 阶段须用采购方提供的冻结样例包实际导入一次，确认平台对目录结构、文件名和 Schema 的最终口径后再批量制作；</w:t>
      </w:r>
    </w:p>
    <w:p>
      <w:pPr>
        <w:numPr>
          <w:ilvl w:val="0"/>
          <w:numId w:val="29"/>
        </w:numPr>
      </w:pPr>
      <w:r>
        <w:t xml:space="preserve">如平台后续调整打包口径，以双方书面冻结的 Schema 和样例包为准，供应商须同步更新，不得同一批次混用不同结构。</w:t>
      </w:r>
    </w:p>
    <w:p>
      <w:pPr>
        <w:pStyle w:val="dingding_code"/>
        <w:shd w:val="clear" w:color="auto" w:fill="D0CECE"/>
      </w:pPr>
      <w:r>
        <w:t xml:space="preserve">&lt;供应商代号&gt;-CS-&lt;批次&gt;-&lt;日期&gt;/</w:t>
        <w:br w:type="textWrapping"/>
        <w:t xml:space="preserve">├── CS-MT-001/</w:t>
        <w:br w:type="textWrapping"/>
        <w:t xml:space="preserve">│   ├── instruction.md</w:t>
        <w:br w:type="textWrapping"/>
        <w:t xml:space="preserve">│   ├── task.toml</w:t>
        <w:br w:type="textWrapping"/>
        <w:t xml:space="preserve">│   ├── environment/</w:t>
        <w:br w:type="textWrapping"/>
        <w:t xml:space="preserve">│   ├── solution/</w:t>
        <w:br w:type="textWrapping"/>
        <w:t xml:space="preserve">│   └── tests/</w:t>
        <w:br w:type="textWrapping"/>
        <w:t xml:space="preserve">├── CS-MT-002/</w:t>
        <w:br w:type="textWrapping"/>
        <w:t xml:space="preserve">├── ...</w:t>
        <w:br w:type="textWrapping"/>
        <w:t xml:space="preserve">└── manifest.csv                    # 批次清单，字段见 §3.10.1</w:t>
      </w:r>
    </w:p>
    <w:p>
      <w:bookmarkStart w:id="mtr6dx3kkivp9al3m2" w:name="mtr6dx3kkivp9al3m2"/>
      <w:pPr>
        <w:pStyle w:val="dingding-heading3"/>
      </w:pPr>
      <w:r>
        <w:t xml:space="preserve">3.10 交付清单</w:t>
      </w:r>
      <w:bookmarkEnd w:id="mtr6dx3kkivp9al3m2"/>
    </w:p>
    <w:p>
      <w:pPr/>
      <w:r>
        <w:t xml:space="preserve">下表为每道题的交付总览，第三列标注各项内容在五件套题包内的落地位置。具体文件格式与必需性以 §3.1 目录结构与 §3.2 字段表为准；包外证据材料见 §3.7。</w:t>
      </w:r>
    </w:p>
    <w:tbl>
      <w:tblPr>
        <w:tblStyle w:val="tableHeader"/>
        <w:tblW w:w="0" w:type="pct"/>
        <w:tblLook w:firstRow="1" w:lastRow="0" w:firstColumn="0" w:lastColumn="0" w:noHBand="0" w:noVBand="0"/>
      </w:tblPr>
      <w:tblGrid>
        <w:gridCol w:w="4910"/>
        <w:gridCol w:w="4910"/>
        <w:gridCol w:w="4924"/>
      </w:tblGrid>
      <w:tr>
        <w:trPr>
          <w:trHeight w:val="0"/>
        </w:trPr>
        <w:tc>
          <w:tcPr>
            <w:tcW w:w="4910" w:type="dxa"/>
          </w:tcPr>
          <w:p>
            <w:pPr/>
            <w:r>
              <w:t xml:space="preserve">交付类别</w:t>
            </w:r>
          </w:p>
        </w:tc>
        <w:tc>
          <w:tcPr>
            <w:tcW w:w="4910" w:type="dxa"/>
          </w:tcPr>
          <w:p>
            <w:pPr/>
            <w:r>
              <w:t xml:space="preserve">交付内容</w:t>
            </w:r>
          </w:p>
        </w:tc>
        <w:tc>
          <w:tcPr>
            <w:tcW w:w="4924" w:type="dxa"/>
          </w:tcPr>
          <w:p>
            <w:pPr/>
            <w:r>
              <w:t xml:space="preserve">对应包内文件/位置</w:t>
            </w:r>
          </w:p>
        </w:tc>
      </w:tr>
      <w:tr>
        <w:trPr>
          <w:trHeight w:val="0"/>
        </w:trPr>
        <w:tc>
          <w:tcPr>
            <w:tcW w:w="4910" w:type="dxa"/>
          </w:tcPr>
          <w:p>
            <w:pPr/>
            <w:r>
              <w:t xml:space="preserve">题面与单轮 prompt</w:t>
            </w:r>
          </w:p>
        </w:tc>
        <w:tc>
          <w:tcPr>
            <w:tcW w:w="4910" w:type="dxa"/>
          </w:tcPr>
          <w:p>
            <w:pPr/>
            <w:r>
              <w:t xml:space="preserve">工程背景、代码上下文、单轮 prompt 文本（含内嵌的错误前提/挑战）</w:t>
            </w:r>
          </w:p>
        </w:tc>
        <w:tc>
          <w:tcPr>
            <w:tcW w:w="4924" w:type="dxa"/>
          </w:tcPr>
          <w:p>
            <w:pPr/>
            <w:r>
              <w:t xml:space="preserve">instruction.md（模型可见任务书 + 单轮 prompt，含工程背景与只读上下文导览）；environment/workspace/repo/（只读上下文）。参考答案、陷阱名称与结论线索不得出现在 instruction.md 与 environment/workspace/repo/ 下任何文件</w:t>
            </w:r>
          </w:p>
        </w:tc>
      </w:tr>
      <w:tr>
        <w:trPr>
          <w:trHeight w:val="0"/>
        </w:trPr>
        <w:tc>
          <w:tcPr>
            <w:tcW w:w="4910" w:type="dxa"/>
          </w:tcPr>
          <w:p>
            <w:pPr/>
            <w:r>
              <w:t xml:space="preserve">Golden（标准预期）</w:t>
            </w:r>
          </w:p>
        </w:tc>
        <w:tc>
          <w:tcPr>
            <w:tcW w:w="4910" w:type="dxa"/>
          </w:tcPr>
          <w:p>
            <w:pPr/>
            <w:r>
              <w:t xml:space="preserve">参考答案、改动点行级映射、功能等价实现、陷阱反例、反例边界</w:t>
            </w:r>
          </w:p>
        </w:tc>
        <w:tc>
          <w:tcPr>
            <w:tcW w:w="4924" w:type="dxa"/>
          </w:tcPr>
          <w:p>
            <w:pPr/>
            <w:r>
              <w:t xml:space="preserve">solution/golden/answer.md；solution/golden/change_points.yaml；solution/variants/；solution/counterexamples/</w:t>
            </w:r>
          </w:p>
        </w:tc>
      </w:tr>
      <w:tr>
        <w:trPr>
          <w:trHeight w:val="0"/>
        </w:trPr>
        <w:tc>
          <w:tcPr>
            <w:tcW w:w="4910" w:type="dxa"/>
          </w:tcPr>
          <w:p>
            <w:pPr/>
            <w:r>
              <w:t xml:space="preserve">UT 与判分脚本</w:t>
            </w:r>
          </w:p>
        </w:tc>
        <w:tc>
          <w:tcPr>
            <w:tcW w:w="4910" w:type="dxa"/>
          </w:tcPr>
          <w:p>
            <w:pPr/>
            <w:r>
              <w:t xml:space="preserve">单元测试方法（&gt; 20）、每个 UT 的判定条件与证据要求、gating、通过率判分逻辑</w:t>
            </w:r>
          </w:p>
        </w:tc>
        <w:tc>
          <w:tcPr>
            <w:tcW w:w="4924" w:type="dxa"/>
          </w:tcPr>
          <w:p>
            <w:pPr/>
            <w:r>
              <w:t xml:space="preserve">tests/（UT 方法 test_*）；tests/score.py（判分入口）。每个 UT 的 description 须指向 solution/golden/ 对应的改动点，evidence_required 须写明断言目标与失败输出；不使用 LLM judge</w:t>
            </w:r>
          </w:p>
        </w:tc>
      </w:tr>
      <w:tr>
        <w:trPr>
          <w:trHeight w:val="0"/>
        </w:trPr>
        <w:tc>
          <w:tcPr>
            <w:tcW w:w="4910" w:type="dxa"/>
          </w:tcPr>
          <w:p>
            <w:pPr/>
            <w:r>
              <w:t xml:space="preserve">标杆校准</w:t>
            </w:r>
          </w:p>
        </w:tc>
        <w:tc>
          <w:tcPr>
            <w:tcW w:w="4910" w:type="dxa"/>
          </w:tcPr>
          <w:p>
            <w:pPr/>
            <w:r>
              <w:t xml:space="preserve">满分/缺陷/蒙对/等价四份提交及逐条 UT 结果单</w:t>
            </w:r>
          </w:p>
        </w:tc>
        <w:tc>
          <w:tcPr>
            <w:tcW w:w="4924" w:type="dxa"/>
          </w:tcPr>
          <w:p>
            <w:pPr/>
            <w:r>
              <w:t xml:space="preserve">tests/calibration/full_score.md、defective.md、guessed.md、equivalent.md</w:t>
            </w:r>
          </w:p>
        </w:tc>
      </w:tr>
      <w:tr>
        <w:trPr>
          <w:trHeight w:val="0"/>
        </w:trPr>
        <w:tc>
          <w:tcPr>
            <w:tcW w:w="4910" w:type="dxa"/>
          </w:tcPr>
          <w:p>
            <w:pPr/>
            <w:r>
              <w:t xml:space="preserve">元数据</w:t>
            </w:r>
          </w:p>
        </w:tc>
        <w:tc>
          <w:tcPr>
            <w:tcW w:w="4910" w:type="dxa"/>
          </w:tcPr>
          <w:p>
            <w:pPr/>
            <w:r>
              <w:t xml:space="preserve">预设 badpattern 清单、考察点、平台、单轮与内嵌挑战声明、来源、许可证、专家耗时、版本与作者（不再区分题型/语言/难度）</w:t>
            </w:r>
          </w:p>
        </w:tc>
        <w:tc>
          <w:tcPr>
            <w:tcW w:w="4924" w:type="dxa"/>
          </w:tcPr>
          <w:p>
            <w:pPr/>
            <w:r>
              <w:t xml:space="preserve">全部写入 task.toml 的 [metadata]（UT 索引写入 [[metadata.ut_index]]），字段见 §3.2；人评可读形态同步落到 instruction.md</w:t>
            </w:r>
          </w:p>
        </w:tc>
      </w:tr>
      <w:tr>
        <w:trPr>
          <w:trHeight w:val="0"/>
        </w:trPr>
        <w:tc>
          <w:tcPr>
            <w:tcW w:w="4910" w:type="dxa"/>
          </w:tcPr>
          <w:p>
            <w:pPr/>
            <w:r>
              <w:t xml:space="preserve">可复现性</w:t>
            </w:r>
          </w:p>
        </w:tc>
        <w:tc>
          <w:tcPr>
            <w:tcW w:w="4910" w:type="dxa"/>
          </w:tcPr>
          <w:p>
            <w:pPr/>
            <w:r>
              <w:t xml:space="preserve">陷阱复现方案、判分确定性结果、基线试测日志、已知限制</w:t>
            </w:r>
          </w:p>
        </w:tc>
        <w:tc>
          <w:tcPr>
            <w:tcW w:w="4924" w:type="dxa"/>
          </w:tcPr>
          <w:p>
            <w:pPr/>
            <w:r>
              <w:t xml:space="preserve">solution/counterexamples/（含运行日志与复现率）；tests/assets/baseline_runs/；tests/assets/selfcheck.md（自检结论 + 判分确定性 + 已知限制）</w:t>
            </w:r>
          </w:p>
        </w:tc>
      </w:tr>
    </w:tbl>
    <w:p>
      <w:bookmarkStart w:id="mtr6dx3l2b46xmt2my8" w:name="mtr6dx3l2b46xmt2my8"/>
      <w:pPr>
        <w:pStyle w:val="dingding-heading4"/>
      </w:pPr>
      <w:r>
        <w:t xml:space="preserve">3.10.1 批次清单</w:t>
      </w:r>
      <w:bookmarkEnd w:id="mtr6dx3l2b46xmt2my8"/>
    </w:p>
    <w:p>
      <w:pPr/>
      <w:r>
        <w:t xml:space="preserve">每批交付须附批次清单（</w:t>
      </w:r>
      <w:r>
        <w:rPr>
          <w:shd w:val="clear" w:color="auto" w:fill="F0F1F1"/>
        </w:rPr>
        <w:t xml:space="preserve">manifest.csv</w:t>
      </w:r>
      <w:r>
        <w:t xml:space="preserve">），至少包含：</w:t>
      </w:r>
    </w:p>
    <w:p>
      <w:pPr>
        <w:numPr>
          <w:ilvl w:val="0"/>
          <w:numId w:val="31"/>
        </w:numPr>
      </w:pPr>
      <w:r>
        <w:t xml:space="preserve">题目编号、题目名称、版本号；</w:t>
      </w:r>
    </w:p>
    <w:p>
      <w:pPr>
        <w:numPr>
          <w:ilvl w:val="0"/>
          <w:numId w:val="32"/>
        </w:numPr>
      </w:pPr>
      <w:r/>
      <w:r>
        <w:rPr>
          <w:shd w:val="clear" w:color="auto" w:fill="F0F1F1"/>
        </w:rPr>
        <w:t xml:space="preserve">badpattern</w:t>
      </w:r>
      <w:r>
        <w:t xml:space="preserve"> / </w:t>
      </w:r>
      <w:r>
        <w:rPr>
          <w:shd w:val="clear" w:color="auto" w:fill="F0F1F1"/>
        </w:rPr>
        <w:t xml:space="preserve">trap_type</w:t>
      </w:r>
      <w:r>
        <w:t xml:space="preserve"> / </w:t>
      </w:r>
      <w:r>
        <w:rPr>
          <w:shd w:val="clear" w:color="auto" w:fill="F0F1F1"/>
        </w:rPr>
        <w:t xml:space="preserve">platform</w:t>
      </w:r>
      <w:r>
        <w:t xml:space="preserve">；</w:t>
      </w:r>
    </w:p>
    <w:p>
      <w:pPr>
        <w:numPr>
          <w:ilvl w:val="0"/>
          <w:numId w:val="33"/>
        </w:numPr>
      </w:pPr>
      <w:r/>
      <w:r>
        <w:rPr>
          <w:shd w:val="clear" w:color="auto" w:fill="F0F1F1"/>
        </w:rPr>
        <w:t xml:space="preserve">focus_points</w:t>
      </w:r>
      <w:r>
        <w:t xml:space="preserve">、是否含内嵌挑战、内嵌前提是否为错、预设 badpattern 清单；</w:t>
      </w:r>
    </w:p>
    <w:p>
      <w:pPr>
        <w:numPr>
          <w:ilvl w:val="0"/>
          <w:numId w:val="34"/>
        </w:numPr>
      </w:pPr>
      <w:r>
        <w:t xml:space="preserve">UT 方法数（&gt; 20，即 ≥ 21）、gating UT 数、针对预设 badpattern 的 UT 数；</w:t>
      </w:r>
    </w:p>
    <w:p>
      <w:pPr>
        <w:numPr>
          <w:ilvl w:val="0"/>
          <w:numId w:val="31"/>
        </w:numPr>
      </w:pPr>
      <w:r>
        <w:t xml:space="preserve">四份校准答卷的实测主分；</w:t>
      </w:r>
    </w:p>
    <w:p>
      <w:pPr>
        <w:numPr>
          <w:ilvl w:val="0"/>
          <w:numId w:val="35"/>
        </w:numPr>
      </w:pPr>
      <w:r>
        <w:t xml:space="preserve">判分确定性结果（全量 UT 方法逐条通过/失败与 gating 一票否决判定连跑 3 次 100% 一致）；</w:t>
      </w:r>
    </w:p>
    <w:p>
      <w:pPr>
        <w:numPr>
          <w:ilvl w:val="0"/>
          <w:numId w:val="31"/>
        </w:numPr>
      </w:pPr>
      <w:r>
        <w:t xml:space="preserve">代码来源、许可证、脱敏与相似度自查结论；</w:t>
      </w:r>
    </w:p>
    <w:p>
      <w:pPr>
        <w:numPr>
          <w:ilvl w:val="0"/>
          <w:numId w:val="31"/>
        </w:numPr>
      </w:pPr>
      <w:r>
        <w:t xml:space="preserve">已知风险、退修记录和当前状态。</w:t>
      </w:r>
    </w:p>
    <w:p>
      <w:pPr>
        <w:pBdr>
          <w:top w:val="single" w:sz="6" w:space="0" w:color="000000"/>
        </w:pBdr>
      </w:pPr>
    </w:p>
    <w:p>
      <w:bookmarkStart w:id="mtr6dx3tstb2wmmkaln" w:name="mtr6dx3tstb2wmmkaln"/>
      <w:pPr>
        <w:pStyle w:val="dingding-heading2"/>
      </w:pPr>
      <w:r>
        <w:t xml:space="preserve">4. 交付计划</w:t>
      </w:r>
      <w:bookmarkEnd w:id="mtr6dx3tstb2wmmkaln"/>
    </w:p>
    <w:p>
      <w:bookmarkStart w:id="mtr6dx3uzsubzucriuh" w:name="mtr6dx3uzsubzucriuh"/>
      <w:pPr>
        <w:pStyle w:val="dingding-heading3"/>
      </w:pPr>
      <w:r>
        <w:t xml:space="preserve">4.1 批次安排</w:t>
      </w:r>
      <w:bookmarkEnd w:id="mtr6dx3uzsubzucriuh"/>
    </w:p>
    <w:p>
      <w:pPr/>
      <w:r>
        <w:t xml:space="preserve">待定</w:t>
      </w:r>
    </w:p>
    <w:p>
      <w:bookmarkStart w:id="mtr6dx3v9mmmfmle7lk" w:name="mtr6dx3v9mmmfmle7lk"/>
      <w:pPr>
        <w:pStyle w:val="dingding-heading3"/>
      </w:pPr>
      <w:r>
        <w:t xml:space="preserve">4.2 样例门禁</w:t>
      </w:r>
      <w:bookmarkEnd w:id="mtr6dx3v9mmmfmle7lk"/>
    </w:p>
    <w:p>
      <w:pPr/>
      <w:r>
        <w:t xml:space="preserve">Pilot 阶段至少确认以下事项后才能批量生产：</w:t>
      </w:r>
    </w:p>
    <w:p>
      <w:pPr>
        <w:numPr>
          <w:ilvl w:val="0"/>
          <w:numId w:val="36"/>
        </w:numPr>
      </w:pPr>
      <w:r>
        <w:t xml:space="preserve">instruction.md/workspace 与 solution//tests/ 的可见性隔离方式，以及评测框架的单轮 prompt 下发行为；</w:t>
      </w:r>
    </w:p>
    <w:p>
      <w:pPr>
        <w:numPr>
          <w:ilvl w:val="0"/>
          <w:numId w:val="37"/>
        </w:numPr>
      </w:pPr>
      <w:r>
        <w:t xml:space="preserve">tests/ 下全量 UT 方法（test_*）与 tests/score.py 的输入输出约定及运行方式，以及判分所需的固定环境（语言版本/依赖）；主分 = UT 通过率，判分全程由 UT 执行得出，不依赖任何 LLM judge 模型；</w:t>
      </w:r>
    </w:p>
    <w:p>
      <w:pPr>
        <w:numPr>
          <w:ilvl w:val="0"/>
          <w:numId w:val="38"/>
        </w:numPr>
      </w:pPr>
      <w:r>
        <w:t xml:space="preserve">UT 通过率主分聚合与 gating UT 一票否决的实际落地结果（用满分/蒙对/等价三份校准答卷跑通）；</w:t>
      </w:r>
    </w:p>
    <w:p>
      <w:pPr>
        <w:numPr>
          <w:ilvl w:val="0"/>
          <w:numId w:val="39"/>
        </w:numPr>
      </w:pPr>
      <w:r>
        <w:t xml:space="preserve">标杆校准四件套的格式与打分单模板；</w:t>
      </w:r>
    </w:p>
    <w:p>
      <w:pPr>
        <w:numPr>
          <w:ilvl w:val="0"/>
          <w:numId w:val="39"/>
        </w:numPr>
      </w:pPr>
      <w:r>
        <w:t xml:space="preserve">基线模型试测的框架、参数与日志格式；</w:t>
      </w:r>
    </w:p>
    <w:p>
      <w:pPr>
        <w:numPr>
          <w:ilvl w:val="0"/>
          <w:numId w:val="39"/>
        </w:numPr>
      </w:pPr>
      <w:r>
        <w:t xml:space="preserve">压缩包目录规则、批次清单字段和版本规则。</w:t>
      </w:r>
    </w:p>
    <w:p>
      <w:pPr/>
      <w:r>
        <w:t xml:space="preserve">供应商在 Schema 和样例包冻结前自行批量制作造成的返工，不计入新增有效交付量。</w:t>
      </w:r>
    </w:p>
    <w:p>
      <w:bookmarkStart w:id="mtr6dx3zogbo9fa9iu" w:name="mtr6dx3zogbo9fa9iu"/>
      <w:pPr>
        <w:pStyle w:val="dingding-heading3"/>
      </w:pPr>
      <w:r>
        <w:t xml:space="preserve">4.3 版本和退修管理</w:t>
      </w:r>
      <w:bookmarkEnd w:id="mtr6dx3zogbo9fa9iu"/>
    </w:p>
    <w:p>
      <w:pPr>
        <w:numPr>
          <w:ilvl w:val="0"/>
          <w:numId w:val="40"/>
        </w:numPr>
      </w:pPr>
      <w:r>
        <w:t xml:space="preserve">题面、单轮 prompt、Golden、UT 与判分脚本、校准答卷和证据包必须使用同一版本号；</w:t>
      </w:r>
    </w:p>
    <w:p>
      <w:pPr>
        <w:numPr>
          <w:ilvl w:val="0"/>
          <w:numId w:val="41"/>
        </w:numPr>
      </w:pPr>
      <w:r>
        <w:t xml:space="preserve">修改后按影响范围重跑：校准四件套判分、判分确定性（连跑 3 次）、受影响的基线模型试测；</w:t>
      </w:r>
    </w:p>
    <w:p>
      <w:pPr>
        <w:numPr>
          <w:ilvl w:val="0"/>
          <w:numId w:val="42"/>
        </w:numPr>
      </w:pPr>
      <w:r>
        <w:t xml:space="preserve">每道题记录「新提交、退修中、待复验、质量通过、最终入选、拒收」等状态；</w:t>
      </w:r>
    </w:p>
    <w:p>
      <w:pPr>
        <w:numPr>
          <w:ilvl w:val="0"/>
          <w:numId w:val="43"/>
        </w:numPr>
      </w:pPr>
      <w:r>
        <w:t xml:space="preserve">同类问题连续出现（≥3 题存在相同根因缺陷，如 UT 普遍使用模糊断言、陷阱普遍无反例程序）时，数据定制生产需求方可暂停该类型的批量生产，要求供应商先完成根因整改；</w:t>
      </w:r>
    </w:p>
    <w:p>
      <w:pPr>
        <w:numPr>
          <w:ilvl w:val="0"/>
          <w:numId w:val="42"/>
        </w:numPr>
      </w:pPr>
      <w:r>
        <w:t xml:space="preserve">单题累计退修达 3 次且第 3 次复验仍不合格的，必须判为拒收；</w:t>
      </w:r>
    </w:p>
    <w:p>
      <w:pPr>
        <w:numPr>
          <w:ilvl w:val="0"/>
          <w:numId w:val="42"/>
        </w:numPr>
      </w:pPr>
      <w:r>
        <w:t xml:space="preserve">返修重交：修订题目的 </w:t>
      </w:r>
      <w:r>
        <w:rPr>
          <w:shd w:val="clear" w:color="auto" w:fill="F0F1F1"/>
        </w:rPr>
        <w:t xml:space="preserve">version</w:t>
      </w:r>
      <w:r>
        <w:t xml:space="preserve"> 递增补丁号（</w:t>
      </w:r>
      <w:r>
        <w:rPr>
          <w:shd w:val="clear" w:color="auto" w:fill="F0F1F1"/>
        </w:rPr>
        <w:t xml:space="preserve">1.0.0</w:t>
      </w:r>
      <w:r>
        <w:t xml:space="preserve"> → </w:t>
      </w:r>
      <w:r>
        <w:rPr>
          <w:shd w:val="clear" w:color="auto" w:fill="F0F1F1"/>
        </w:rPr>
        <w:t xml:space="preserve">1.0.1</w:t>
      </w:r>
      <w:r>
        <w:t xml:space="preserve">），</w:t>
      </w:r>
      <w:r>
        <w:rPr>
          <w:b w:val="1"/>
        </w:rPr>
        <w:t xml:space="preserve">只重交修订过的题目目录</w:t>
      </w:r>
      <w:r>
        <w:t xml:space="preserve">，批次目录名沿用原名加 </w:t>
      </w:r>
      <w:r>
        <w:rPr>
          <w:shd w:val="clear" w:color="auto" w:fill="F0F1F1"/>
        </w:rPr>
        <w:t xml:space="preserve">_fix&lt;N&gt;</w:t>
      </w:r>
      <w:r>
        <w:t xml:space="preserve">，压缩包名同步。供应商代号不随返修变更。                                        </w:t>
      </w:r>
    </w:p>
    <w:p>
      <w:pPr>
        <w:pBdr>
          <w:top w:val="single" w:sz="6" w:space="0" w:color="000000"/>
        </w:pBdr>
      </w:pPr>
    </w:p>
    <w:p>
      <w:bookmarkStart w:id="mtr6dx42b68nqgizras" w:name="mtr6dx42b68nqgizras"/>
      <w:pPr>
        <w:pStyle w:val="dingding-heading2"/>
      </w:pPr>
      <w:r>
        <w:t xml:space="preserve">5. 验收标准</w:t>
      </w:r>
      <w:bookmarkEnd w:id="mtr6dx42b68nqgizras"/>
    </w:p>
    <w:p>
      <w:bookmarkStart w:id="mtr6dx43vcipt0pfgi" w:name="mtr6dx43vcipt0pfgi"/>
      <w:pPr>
        <w:pStyle w:val="dingding-heading3"/>
      </w:pPr>
      <w:r>
        <w:t xml:space="preserve">5.1 两层验收结论</w:t>
      </w:r>
      <w:bookmarkEnd w:id="mtr6dx43vcipt0pfgi"/>
    </w:p>
    <w:p>
      <w:pPr/>
      <w:r>
        <w:t xml:space="preserve">验收分两层记录：</w:t>
      </w:r>
    </w:p>
    <w:p>
      <w:pPr>
        <w:numPr>
          <w:ilvl w:val="0"/>
          <w:numId w:val="44"/>
        </w:numPr>
      </w:pPr>
      <w:r>
        <w:t xml:space="preserve">格式/质量验收：判断五件套题包是否满足交付格式、题目质量、判分可复现与准入要求；</w:t>
      </w:r>
    </w:p>
    <w:p>
      <w:pPr>
        <w:numPr>
          <w:ilvl w:val="0"/>
          <w:numId w:val="44"/>
        </w:numPr>
      </w:pPr>
      <w:r>
        <w:rPr>
          <w:b w:val="1"/>
        </w:rPr>
        <w:t xml:space="preserve">最终成品入选</w:t>
      </w:r>
      <w:r>
        <w:t xml:space="preserve">：在质量通过的候选题中，结合题库整体覆盖、重复度、badpattern 分布、判分稳定性和评测成本决定是否进入正式题库。</w:t>
      </w:r>
    </w:p>
    <w:p>
      <w:pPr/>
      <w:r>
        <w:t xml:space="preserve">质量通过不等于最终入选；未最终入选也不代表五件套题包一定存在质量缺陷。</w:t>
      </w:r>
    </w:p>
    <w:p>
      <w:bookmarkStart w:id="mtr6dx45rwoj6gildl" w:name="mtr6dx45rwoj6gildl"/>
      <w:pPr>
        <w:pStyle w:val="dingding-heading3"/>
      </w:pPr>
      <w:r>
        <w:t xml:space="preserve">5.2 单题验收流程</w:t>
      </w:r>
      <w:bookmarkEnd w:id="mtr6dx45rwoj6gildl"/>
    </w:p>
    <w:p>
      <w:pPr>
        <w:numPr>
          <w:ilvl w:val="0"/>
          <w:numId w:val="45"/>
        </w:numPr>
      </w:pPr>
      <w:r>
        <w:rPr>
          <w:b w:val="1"/>
        </w:rPr>
        <w:t xml:space="preserve">Code Sense 准入检查</w:t>
      </w:r>
      <w:r>
        <w:t xml:space="preserve">：按 §2.5 逐条核验——UT 是否仅校验平凡功能正确性而未针对「改一查十」的下游/相关改动点与语义陷阱（若是则退回）、是否为单轮（含任何后续追问轮的多轮题退回）、陷阱是否可复现、UT 是否逐条锚定改动点、是否抄自公开 benchmark；</w:t>
      </w:r>
    </w:p>
    <w:p>
      <w:pPr>
        <w:numPr>
          <w:ilvl w:val="0"/>
          <w:numId w:val="46"/>
        </w:numPr>
      </w:pPr>
      <w:r>
        <w:rPr>
          <w:b w:val="1"/>
        </w:rPr>
        <w:t xml:space="preserve">题意与配额检查</w:t>
      </w:r>
      <w:r>
        <w:t xml:space="preserve">：badpattern 声明与题目实际内容是否一致，是否落在配额内；</w:t>
      </w:r>
    </w:p>
    <w:p>
      <w:pPr>
        <w:numPr>
          <w:ilvl w:val="0"/>
          <w:numId w:val="46"/>
        </w:numPr>
      </w:pPr>
      <w:r>
        <w:t xml:space="preserve">可见性隔离检查：instruction.md/workspace 下是否泄露参考答案、陷阱名称或结论线索；solution/ 与 tests/ 是否被评测框架正确隔离；</w:t>
      </w:r>
    </w:p>
    <w:p>
      <w:pPr>
        <w:numPr>
          <w:ilvl w:val="0"/>
          <w:numId w:val="46"/>
        </w:numPr>
      </w:pPr>
      <w:r>
        <w:rPr>
          <w:b w:val="1"/>
        </w:rPr>
        <w:t xml:space="preserve">陷阱可证性验证</w:t>
      </w:r>
      <w:r>
        <w:t xml:space="preserve">：独立运行 </w:t>
      </w:r>
      <w:r>
        <w:rPr>
          <w:shd w:val="clear" w:color="auto" w:fill="F0F1F1"/>
        </w:rPr>
        <w:t xml:space="preserve">counterexamples/</w:t>
      </w:r>
      <w:r>
        <w:t xml:space="preserve"> 下的反例程序，确认陷阱在声明的语言版本与平台上实际触发；</w:t>
      </w:r>
    </w:p>
    <w:p>
      <w:pPr>
        <w:numPr>
          <w:ilvl w:val="0"/>
          <w:numId w:val="46"/>
        </w:numPr>
      </w:pPr>
      <w:r>
        <w:rPr>
          <w:b w:val="1"/>
        </w:rPr>
        <w:t xml:space="preserve">Golden 验证</w:t>
      </w:r>
      <w:r>
        <w:t xml:space="preserve">：独立运行参考答案与全部可接受变体，确认输出与声明一致；核验关键点的行级映射；</w:t>
      </w:r>
    </w:p>
    <w:p>
      <w:pPr>
        <w:numPr>
          <w:ilvl w:val="0"/>
          <w:numId w:val="46"/>
        </w:numPr>
      </w:pPr>
      <w:r>
        <w:rPr>
          <w:b w:val="1"/>
        </w:rPr>
        <w:t xml:space="preserve">校准答卷复跑</w:t>
      </w:r>
      <w:r>
        <w:t xml:space="preserve">：用四份校准答卷独立跑判分，确认满分 = 1.0、蒙对 ≤ 0.30、等价 ≥ 0.90、缺陷样例的扣分与扣分单一致；</w:t>
      </w:r>
    </w:p>
    <w:p>
      <w:pPr>
        <w:numPr>
          <w:ilvl w:val="0"/>
          <w:numId w:val="47"/>
        </w:numPr>
      </w:pPr>
      <w:r>
        <w:rPr>
          <w:b w:val="1"/>
        </w:rPr>
        <w:t xml:space="preserve">判分确定性复验</w:t>
      </w:r>
      <w:r>
        <w:t xml:space="preserve">：抽样答卷同判分脚本连跑 3 次，确认逐条 UT 通过/失败与 gating 一票否决判定 100% 一致（全程由 UT 执行，不调用 LLM）；</w:t>
      </w:r>
    </w:p>
    <w:p>
      <w:pPr>
        <w:numPr>
          <w:ilvl w:val="0"/>
          <w:numId w:val="48"/>
        </w:numPr>
      </w:pPr>
      <w:r>
        <w:rPr>
          <w:b w:val="1"/>
        </w:rPr>
        <w:t xml:space="preserve">badpattern 锚定复验</w:t>
      </w:r>
      <w:r>
        <w:t xml:space="preserve">：对含预设 badpattern 的 UT（含 gating），复核其命中均由 UT 断言判定模型实际改动后的代码、而非题面是否包含 badpattern 命题；</w:t>
      </w:r>
    </w:p>
    <w:p>
      <w:pPr>
        <w:numPr>
          <w:ilvl w:val="0"/>
          <w:numId w:val="46"/>
        </w:numPr>
      </w:pPr>
      <w:r>
        <w:rPr>
          <w:b w:val="1"/>
        </w:rPr>
        <w:t xml:space="preserve">基线试测复核</w:t>
      </w:r>
      <w:r>
        <w:t xml:space="preserve">：核对四模型均分 &lt; 50%、区分度 ≥ 15 个百分点、非全 0；</w:t>
      </w:r>
    </w:p>
    <w:p>
      <w:pPr>
        <w:numPr>
          <w:ilvl w:val="0"/>
          <w:numId w:val="49"/>
        </w:numPr>
      </w:pPr>
      <w:r>
        <w:rPr>
          <w:b w:val="1"/>
        </w:rPr>
        <w:t xml:space="preserve">证据链核验</w:t>
      </w:r>
      <w:r>
        <w:t xml:space="preserve">：逐个 UT 方法的 </w:t>
      </w:r>
      <w:r>
        <w:rPr>
          <w:shd w:val="clear" w:color="auto" w:fill="F0F1F1"/>
        </w:rPr>
        <w:t xml:space="preserve">evidence_required</w:t>
      </w:r>
      <w:r>
        <w:t xml:space="preserve"> 是否可实际执行；</w:t>
      </w:r>
      <w:r>
        <w:rPr>
          <w:shd w:val="clear" w:color="auto" w:fill="F0F1F1"/>
        </w:rPr>
        <w:t xml:space="preserve">model_failure_modes</w:t>
      </w:r>
      <w:r>
        <w:t xml:space="preserve"> 是否有真实答卷证据；</w:t>
      </w:r>
    </w:p>
    <w:p>
      <w:pPr>
        <w:numPr>
          <w:ilvl w:val="0"/>
          <w:numId w:val="46"/>
        </w:numPr>
      </w:pPr>
      <w:r>
        <w:rPr>
          <w:b w:val="1"/>
        </w:rPr>
        <w:t xml:space="preserve">批次复核</w:t>
      </w:r>
      <w:r>
        <w:t xml:space="preserve">：检查重复、badpattern 分布与陷阱类型覆盖、含内嵌挑战题目数量，以及单题评测成本（与批次均值偏离 ≥50% 须标注原因）。</w:t>
      </w:r>
    </w:p>
    <w:p>
      <w:bookmarkStart w:id="mtr6dx4gg87aj8d2xc" w:name="mtr6dx4gg87aj8d2xc"/>
      <w:pPr>
        <w:pStyle w:val="dingding-heading3"/>
      </w:pPr>
      <w:r>
        <w:t xml:space="preserve">5.3 必须通过的硬门</w:t>
      </w:r>
      <w:bookmarkEnd w:id="mtr6dx4gg87aj8d2xc"/>
    </w:p>
    <w:p>
      <w:pPr/>
      <w:r>
        <w:t xml:space="preserve">以下任一项不满足，题目不得判为质量通过：</w:t>
      </w:r>
    </w:p>
    <w:p>
      <w:pPr>
        <w:numPr>
          <w:ilvl w:val="0"/>
          <w:numId w:val="50"/>
        </w:numPr>
      </w:pPr>
      <w:r>
        <w:t xml:space="preserve">task.toml 的 [metadata] 必填字段缺失，或与目录结构、tests/ 下 UT 方法、批次清单不一致；</w:t>
      </w:r>
    </w:p>
    <w:p>
      <w:pPr>
        <w:numPr>
          <w:ilvl w:val="0"/>
          <w:numId w:val="51"/>
        </w:numPr>
      </w:pPr>
      <w:r>
        <w:rPr>
          <w:b w:val="1"/>
        </w:rPr>
        <w:t xml:space="preserve">陷阱无法用反例程序复现</w:t>
      </w:r>
      <w:r>
        <w:t xml:space="preserve">，或反例程序在声明的语言版本/平台上不触发陷阱；</w:t>
      </w:r>
    </w:p>
    <w:p>
      <w:pPr>
        <w:numPr>
          <w:ilvl w:val="0"/>
          <w:numId w:val="51"/>
        </w:numPr>
      </w:pPr>
      <w:r>
        <w:rPr>
          <w:b w:val="1"/>
        </w:rPr>
        <w:t xml:space="preserve">蒙对率检验不通过</w:t>
      </w:r>
      <w:r>
        <w:t xml:space="preserve">：「语法正确语义错」的答卷主分 &gt; 0.30；</w:t>
      </w:r>
    </w:p>
    <w:p>
      <w:pPr>
        <w:numPr>
          <w:ilvl w:val="0"/>
          <w:numId w:val="52"/>
        </w:numPr>
      </w:pPr>
      <w:r>
        <w:rPr>
          <w:b w:val="1"/>
        </w:rPr>
        <w:t xml:space="preserve">误杀检验不通过</w:t>
      </w:r>
      <w:r>
        <w:t xml:space="preserve">：功能等价、表述不同的答卷主分（UT 通过率）&lt; 0.90，或触发任一 gating UT；</w:t>
      </w:r>
    </w:p>
    <w:p>
      <w:pPr>
        <w:numPr>
          <w:ilvl w:val="0"/>
          <w:numId w:val="51"/>
        </w:numPr>
      </w:pPr>
      <w:r>
        <w:t xml:space="preserve">参考答案在声明的语言版本下实际运行结果与 </w:t>
      </w:r>
      <w:r>
        <w:rPr>
          <w:shd w:val="clear" w:color="auto" w:fill="F0F1F1"/>
        </w:rPr>
        <w:t xml:space="preserve">answer.md</w:t>
      </w:r>
      <w:r>
        <w:t xml:space="preserve"> 声明不一致；</w:t>
      </w:r>
    </w:p>
    <w:p>
      <w:pPr>
        <w:numPr>
          <w:ilvl w:val="0"/>
          <w:numId w:val="53"/>
        </w:numPr>
      </w:pPr>
      <w:r>
        <w:t xml:space="preserve">针对预设 badpattern 的 </w:t>
      </w:r>
      <w:r>
        <w:rPr>
          <w:b w:val="1"/>
        </w:rPr>
        <w:t xml:space="preserve">UT &lt; 2 条</w:t>
      </w:r>
      <w:r>
        <w:t xml:space="preserve">，或判定仅凭题面包含 badpattern 命题而非模型实际改动后的代码；UT 方法未锚定改动点、使用无实质断言的模糊表述，或以特定词汇/函数名命中作为判定依据；</w:t>
      </w:r>
    </w:p>
    <w:p>
      <w:pPr>
        <w:numPr>
          <w:ilvl w:val="0"/>
          <w:numId w:val="54"/>
        </w:numPr>
      </w:pPr>
      <w:r>
        <w:t xml:space="preserve">三个必需维度（答案正确性 / 推理与归因 / 单轮反幻觉）未全部有 UT 方法覆盖；</w:t>
      </w:r>
    </w:p>
    <w:p>
      <w:pPr>
        <w:numPr>
          <w:ilvl w:val="0"/>
          <w:numId w:val="55"/>
        </w:numPr>
      </w:pPr>
      <w:r>
        <w:t xml:space="preserve">gating UT 由 LLM judge 或人工复核判定（未采用 UT 断言）；UT 方法总数 ≤ 20（未超过 20），或针对预设 badpattern 的 UT &lt; 2 条，或无 gating UT；</w:t>
      </w:r>
    </w:p>
    <w:p>
      <w:pPr>
        <w:numPr>
          <w:ilvl w:val="0"/>
          <w:numId w:val="56"/>
        </w:numPr>
      </w:pPr>
      <w:r>
        <w:rPr>
          <w:b w:val="1"/>
        </w:rPr>
        <w:t xml:space="preserve">判分确定性不达标</w:t>
      </w:r>
      <w:r>
        <w:t xml:space="preserve">：逐条 UT 通过/失败或 gating 一票否决判定跨运行不一致（UT 或判分脚本存在非确定性），或判分脚本依赖任何 LLM；</w:t>
      </w:r>
    </w:p>
    <w:p>
      <w:pPr>
        <w:numPr>
          <w:ilvl w:val="0"/>
          <w:numId w:val="57"/>
        </w:numPr>
      </w:pPr>
      <w:r/>
      <w:r>
        <w:rPr>
          <w:shd w:val="clear" w:color="auto" w:fill="F0F1F1"/>
        </w:rPr>
        <w:t xml:space="preserve">verification.test_is_sufficient</w:t>
      </w:r>
      <w:r>
        <w:t xml:space="preserve"> 不为 </w:t>
      </w:r>
      <w:r>
        <w:rPr>
          <w:shd w:val="clear" w:color="auto" w:fill="F0F1F1"/>
        </w:rPr>
        <w:t xml:space="preserve">true</w:t>
      </w:r>
      <w:r>
        <w:t xml:space="preserve">（纯 UT 判分要求判分完全由 tests/ 下 UT 方法决定），或 UT 未涵盖预设 badpattern 与「改一查十」改动点（UT 仅校验平凡功能正确性）；</w:t>
      </w:r>
    </w:p>
    <w:p>
      <w:pPr>
        <w:numPr>
          <w:ilvl w:val="0"/>
          <w:numId w:val="51"/>
        </w:numPr>
      </w:pPr>
      <w:r>
        <w:t xml:space="preserve">参考答案、关键点、陷阱名称或结论线索泄漏到 instruction.md/workspace 等任何模型可见路径；</w:t>
      </w:r>
    </w:p>
    <w:p>
      <w:pPr>
        <w:numPr>
          <w:ilvl w:val="0"/>
          <w:numId w:val="51"/>
        </w:numPr>
      </w:pPr>
      <w:r>
        <w:t xml:space="preserve">四模型基线均分 ≥ 50%，或区分度 &lt; 15 个百分点，或四家全为 0；</w:t>
      </w:r>
    </w:p>
    <w:p>
      <w:pPr>
        <w:numPr>
          <w:ilvl w:val="0"/>
          <w:numId w:val="51"/>
        </w:numPr>
      </w:pPr>
      <w:r>
        <w:t xml:space="preserve">来源、许可证、敏感数据、脱敏、重复或公开 benchmark 污染检查不通过。</w:t>
      </w:r>
    </w:p>
    <w:p>
      <w:bookmarkStart w:id="mtr6dx4no51gffxwuh" w:name="mtr6dx4no51gffxwuh"/>
      <w:pPr>
        <w:pStyle w:val="dingding-heading3"/>
      </w:pPr>
      <w:r>
        <w:t xml:space="preserve">5.4 验收结论</w:t>
      </w:r>
      <w:bookmarkEnd w:id="mtr6dx4no51gffxwuh"/>
    </w:p>
    <w:tbl>
      <w:tblPr>
        <w:tblStyle w:val="tableHeader"/>
        <w:tblW w:w="0" w:type="pct"/>
        <w:tblLook w:firstRow="1" w:lastRow="0" w:firstColumn="0" w:lastColumn="0" w:noHBand="0" w:noVBand="0"/>
      </w:tblPr>
      <w:tblGrid>
        <w:gridCol w:w="4910"/>
        <w:gridCol w:w="4910"/>
        <w:gridCol w:w="4924"/>
      </w:tblGrid>
      <w:tr>
        <w:trPr>
          <w:trHeight w:val="0"/>
        </w:trPr>
        <w:tc>
          <w:tcPr>
            <w:tcW w:w="4910" w:type="dxa"/>
          </w:tcPr>
          <w:p>
            <w:pPr/>
            <w:r>
              <w:t xml:space="preserve">结论</w:t>
            </w:r>
          </w:p>
        </w:tc>
        <w:tc>
          <w:tcPr>
            <w:tcW w:w="4910" w:type="dxa"/>
          </w:tcPr>
          <w:p>
            <w:pPr/>
            <w:r>
              <w:t xml:space="preserve">适用情况</w:t>
            </w:r>
          </w:p>
        </w:tc>
        <w:tc>
          <w:tcPr>
            <w:tcW w:w="4924" w:type="dxa"/>
          </w:tcPr>
          <w:p>
            <w:pPr/>
            <w:r>
              <w:t xml:space="preserve">后续处理</w:t>
            </w:r>
          </w:p>
        </w:tc>
      </w:tr>
      <w:tr>
        <w:trPr>
          <w:trHeight w:val="0"/>
        </w:trPr>
        <w:tc>
          <w:tcPr>
            <w:tcW w:w="4910" w:type="dxa"/>
          </w:tcPr>
          <w:p>
            <w:pPr/>
            <w:r>
              <w:t xml:space="preserve">格式/质量通过</w:t>
            </w:r>
          </w:p>
        </w:tc>
        <w:tc>
          <w:tcPr>
            <w:tcW w:w="4910" w:type="dxa"/>
          </w:tcPr>
          <w:p>
            <w:pPr/>
            <w:r>
              <w:t xml:space="preserve">所有硬门通过，题面、Golden、UT、校准与证据完整</w:t>
            </w:r>
          </w:p>
        </w:tc>
        <w:tc>
          <w:tcPr>
            <w:tcW w:w="4924" w:type="dxa"/>
          </w:tcPr>
          <w:p>
            <w:pPr/>
            <w:r>
              <w:t xml:space="preserve">进入最终入选评审</w:t>
            </w:r>
          </w:p>
        </w:tc>
      </w:tr>
      <w:tr>
        <w:trPr>
          <w:trHeight w:val="0"/>
        </w:trPr>
        <w:tc>
          <w:tcPr>
            <w:tcW w:w="4910" w:type="dxa"/>
          </w:tcPr>
          <w:p>
            <w:pPr/>
            <w:r>
              <w:t xml:space="preserve">退修</w:t>
            </w:r>
          </w:p>
        </w:tc>
        <w:tc>
          <w:tcPr>
            <w:tcW w:w="4910" w:type="dxa"/>
          </w:tcPr>
          <w:p>
            <w:pPr/>
            <w:r>
              <w:t xml:space="preserve">方向符合要求，但存在可修复的题面、Golden、UT、校准或证据问题</w:t>
            </w:r>
          </w:p>
        </w:tc>
        <w:tc>
          <w:tcPr>
            <w:tcW w:w="4924" w:type="dxa"/>
          </w:tcPr>
          <w:p>
            <w:pPr/>
            <w:r>
              <w:t xml:space="preserve">按问题单修改并复验受影响部分</w:t>
            </w:r>
          </w:p>
        </w:tc>
      </w:tr>
      <w:tr>
        <w:trPr>
          <w:trHeight w:val="0"/>
        </w:trPr>
        <w:tc>
          <w:tcPr>
            <w:tcW w:w="4910" w:type="dxa"/>
          </w:tcPr>
          <w:p>
            <w:pPr/>
            <w:r>
              <w:t xml:space="preserve">拒收</w:t>
            </w:r>
          </w:p>
        </w:tc>
        <w:tc>
          <w:tcPr>
            <w:tcW w:w="4910" w:type="dxa"/>
          </w:tcPr>
          <w:p>
            <w:pPr/>
            <w:r>
              <w:t xml:space="preserve">不属于 Code Sense（UT 仅校验平凡功能、未锚定 badpattern/改动点 / 多轮 / 陷阱不可复现）、判分根本不可复现、蒙对或误杀检验根本性失败、重复/泄漏/侵权，或累计退修达 3 次且复验仍不合格</w:t>
            </w:r>
          </w:p>
        </w:tc>
        <w:tc>
          <w:tcPr>
            <w:tcW w:w="4924" w:type="dxa"/>
          </w:tcPr>
          <w:p>
            <w:pPr/>
            <w:r>
              <w:t xml:space="preserve">不计入有效交付量</w:t>
            </w:r>
          </w:p>
        </w:tc>
      </w:tr>
      <w:tr>
        <w:trPr>
          <w:trHeight w:val="0"/>
        </w:trPr>
        <w:tc>
          <w:tcPr>
            <w:tcW w:w="4910" w:type="dxa"/>
          </w:tcPr>
          <w:p>
            <w:pPr/>
            <w:r>
              <w:t xml:space="preserve">质量通过但未入选</w:t>
            </w:r>
          </w:p>
        </w:tc>
        <w:tc>
          <w:tcPr>
            <w:tcW w:w="4910" w:type="dxa"/>
          </w:tcPr>
          <w:p>
            <w:pPr/>
            <w:r>
              <w:t xml:space="preserve">单题质量合格，但题库整体存在重复、分布或成本原因</w:t>
            </w:r>
          </w:p>
        </w:tc>
        <w:tc>
          <w:tcPr>
            <w:tcW w:w="4924" w:type="dxa"/>
          </w:tcPr>
          <w:p>
            <w:pPr/>
            <w:r>
              <w:t xml:space="preserve">可作为备选题</w:t>
            </w:r>
          </w:p>
        </w:tc>
      </w:tr>
    </w:tbl>
    <w:p>
      <w:pPr>
        <w:numPr>
          <w:ilvl w:val="0"/>
          <w:numId w:val="58"/>
        </w:numPr>
      </w:pPr>
      <w:r>
        <w:t xml:space="preserve">数据定制生产需求方可对每批题目进行全量格式预检和抽样独立复跑，每批抽检比例 ≥ </w:t>
      </w:r>
      <w:r>
        <w:rPr>
          <w:b w:val="1"/>
        </w:rPr>
        <w:t xml:space="preserve">20%</w:t>
      </w:r>
      <w:r>
        <w:t xml:space="preserve">（Code Sense 考察语义陷阱与 badpattern，题面设计复杂度高，抽检比例高于传统功能型 coding 赛道）；</w:t>
      </w:r>
    </w:p>
    <w:p>
      <w:pPr>
        <w:numPr>
          <w:ilvl w:val="0"/>
          <w:numId w:val="59"/>
        </w:numPr>
      </w:pPr>
      <w:r>
        <w:t xml:space="preserve">对样例题、含内嵌挑战的题、gating UT 判定复杂的题及曾退修题</w:t>
      </w:r>
      <w:r>
        <w:rPr>
          <w:b w:val="1"/>
        </w:rPr>
        <w:t xml:space="preserve">全量复验</w:t>
      </w:r>
      <w:r>
        <w:t xml:space="preserve">；</w:t>
      </w:r>
    </w:p>
    <w:p>
      <w:pPr>
        <w:numPr>
          <w:ilvl w:val="0"/>
          <w:numId w:val="60"/>
        </w:numPr>
      </w:pPr>
      <w:r>
        <w:t xml:space="preserve">抽检复跑须使用冻结版本，记录题目版本、判分脚本版本与运行环境、被测模型版本；</w:t>
      </w:r>
    </w:p>
    <w:p>
      <w:pPr>
        <w:numPr>
          <w:ilvl w:val="0"/>
          <w:numId w:val="61"/>
        </w:numPr>
      </w:pPr>
      <w:r>
        <w:t xml:space="preserve">判分不可用（判分脚本报错、输出不合结构化约定、证据无法提取）不计模型失败，但因五件套题包自身导致的持续判分不可用属于题目质量问题；</w:t>
      </w:r>
    </w:p>
    <w:p>
      <w:pPr>
        <w:numPr>
          <w:ilvl w:val="0"/>
          <w:numId w:val="62"/>
        </w:numPr>
      </w:pPr>
      <w:r>
        <w:t xml:space="preserve">最终入选数量不足配额计划的 90%，或 badpattern 分布/内嵌挑战结构性缺口未关闭时，供应商须按约定继续补题。</w:t>
      </w:r>
    </w:p>
    <w:p>
      <w:bookmarkStart w:id="mtr6dx4sxz5pjiwa1b" w:name="mtr6dx4sxz5pjiwa1b"/>
      <w:pPr>
        <w:pStyle w:val="dingding-heading3"/>
      </w:pPr>
      <w:r>
        <w:t xml:space="preserve">5.6 验收证据最低要求</w:t>
      </w:r>
      <w:bookmarkEnd w:id="mtr6dx4sxz5pjiwa1b"/>
    </w:p>
    <w:p>
      <w:pPr/>
      <w:r>
        <w:t xml:space="preserve">每道题至少保留：</w:t>
      </w:r>
    </w:p>
    <w:p>
      <w:pPr>
        <w:numPr>
          <w:ilvl w:val="0"/>
          <w:numId w:val="63"/>
        </w:numPr>
      </w:pPr>
      <w:r>
        <w:t xml:space="preserve">解压后目录与文件清单；</w:t>
      </w:r>
    </w:p>
    <w:p>
      <w:pPr>
        <w:numPr>
          <w:ilvl w:val="0"/>
          <w:numId w:val="63"/>
        </w:numPr>
      </w:pPr>
      <w:r>
        <w:t xml:space="preserve">Code Sense 准入检查记录（§2.5 逐条核验结论）；</w:t>
      </w:r>
    </w:p>
    <w:p>
      <w:pPr>
        <w:numPr>
          <w:ilvl w:val="0"/>
          <w:numId w:val="63"/>
        </w:numPr>
      </w:pPr>
      <w:r>
        <w:t xml:space="preserve">陷阱反例程序运行日志与复现率统计；</w:t>
      </w:r>
    </w:p>
    <w:p>
      <w:pPr>
        <w:numPr>
          <w:ilvl w:val="0"/>
          <w:numId w:val="63"/>
        </w:numPr>
      </w:pPr>
      <w:r>
        <w:t xml:space="preserve">参考答案与全部可接受变体的实际运行输出；</w:t>
      </w:r>
    </w:p>
    <w:p>
      <w:pPr>
        <w:numPr>
          <w:ilvl w:val="0"/>
          <w:numId w:val="63"/>
        </w:numPr>
      </w:pPr>
      <w:r>
        <w:t xml:space="preserve">四份校准答卷的独立复跑判分结果与逐条明细；</w:t>
      </w:r>
    </w:p>
    <w:p>
      <w:pPr>
        <w:numPr>
          <w:ilvl w:val="0"/>
          <w:numId w:val="64"/>
        </w:numPr>
      </w:pPr>
      <w:r>
        <w:t xml:space="preserve">判分确定性复验记录（逐条 UT 通过/失败与 gating 一票否决连跑 3 次 100% 一致的明细）；</w:t>
      </w:r>
    </w:p>
    <w:p>
      <w:pPr>
        <w:numPr>
          <w:ilvl w:val="0"/>
          <w:numId w:val="63"/>
        </w:numPr>
      </w:pPr>
      <w:r>
        <w:t xml:space="preserve">四模型基线试测日志、均分与区分度统计；</w:t>
      </w:r>
    </w:p>
    <w:p>
      <w:pPr>
        <w:numPr>
          <w:ilvl w:val="0"/>
          <w:numId w:val="63"/>
        </w:numPr>
      </w:pPr>
      <w:r>
        <w:t xml:space="preserve">可见性隔离检查结论；</w:t>
      </w:r>
    </w:p>
    <w:p>
      <w:pPr>
        <w:numPr>
          <w:ilvl w:val="0"/>
          <w:numId w:val="63"/>
        </w:numPr>
      </w:pPr>
      <w:r>
        <w:t xml:space="preserve">来源、许可证、脱敏、公开 benchmark 相似度自查；</w:t>
      </w:r>
    </w:p>
    <w:p>
      <w:pPr>
        <w:numPr>
          <w:ilvl w:val="0"/>
          <w:numId w:val="65"/>
        </w:numPr>
      </w:pPr>
      <w:r>
        <w:t xml:space="preserve">批次复核记录（重复、badpattern 分布、内嵌挑战数量、成本分布的审查结论）。</w:t>
      </w:r>
    </w:p>
    <w:p>
      <w:bookmarkStart w:id="mtr6dx6cofzha9xxh4c" w:name="mtr6dx6cofzha9xxh4c"/>
      <w:pPr>
        <w:pStyle w:val="dingding-heading3"/>
      </w:pPr>
      <w:r>
        <w:t xml:space="preserve">5.7 供应商交付验收 Checklist</w:t>
      </w:r>
      <w:bookmarkEnd w:id="mtr6dx6cofzha9xxh4c"/>
    </w:p>
    <w:p>
      <w:pPr/>
      <w:r>
        <w:t xml:space="preserve">在验收供应商提交的 Golden 与 UT 时，可直接使用以下表格做合规判定：</w:t>
      </w:r>
    </w:p>
    <w:tbl>
      <w:tblPr>
        <w:tblStyle w:val="tableHeader"/>
        <w:tblW w:w="0" w:type="pct"/>
        <w:tblLook w:firstRow="1" w:lastRow="0" w:firstColumn="0" w:lastColumn="0" w:noHBand="0" w:noVBand="0"/>
      </w:tblPr>
      <w:tblGrid>
        <w:gridCol w:w="4910"/>
        <w:gridCol w:w="4910"/>
        <w:gridCol w:w="4924"/>
      </w:tblGrid>
      <w:tr>
        <w:trPr>
          <w:trHeight w:val="0"/>
        </w:trPr>
        <w:tc>
          <w:tcPr>
            <w:tcW w:w="4910" w:type="dxa"/>
          </w:tcPr>
          <w:p>
            <w:pPr/>
            <w:r>
              <w:t xml:space="preserve">模块</w:t>
            </w:r>
          </w:p>
        </w:tc>
        <w:tc>
          <w:tcPr>
            <w:tcW w:w="4910" w:type="dxa"/>
          </w:tcPr>
          <w:p>
            <w:pPr/>
            <w:r>
              <w:t xml:space="preserve">验收项</w:t>
            </w:r>
          </w:p>
        </w:tc>
        <w:tc>
          <w:tcPr>
            <w:tcW w:w="4924" w:type="dxa"/>
          </w:tcPr>
          <w:p>
            <w:pPr/>
            <w:r>
              <w:t xml:space="preserve">合格标准（缺一不可）</w:t>
            </w:r>
          </w:p>
        </w:tc>
      </w:tr>
      <w:tr>
        <w:trPr>
          <w:trHeight w:val="0"/>
        </w:trPr>
        <w:tc>
          <w:tcPr>
            <w:tcW w:w="4910" w:type="dxa"/>
          </w:tcPr>
          <w:p>
            <w:pPr/>
            <w:r>
              <w:t xml:space="preserve">题目属性</w:t>
            </w:r>
          </w:p>
        </w:tc>
        <w:tc>
          <w:tcPr>
            <w:tcW w:w="4910" w:type="dxa"/>
          </w:tcPr>
          <w:p>
            <w:pPr/>
            <w:r>
              <w:t xml:space="preserve">Code Sense 准入</w:t>
            </w:r>
          </w:p>
        </w:tc>
        <w:tc>
          <w:tcPr>
            <w:tcW w:w="4924" w:type="dxa"/>
          </w:tcPr>
          <w:p>
            <w:pPr/>
            <w:r>
              <w:t xml:space="preserve">UT 锚定「改一查十」改动点与语义陷阱、不得仅校验平凡功能正确性；test_is_sufficient = true（判分完全由 UT 决定）；单轮（含任何后续追问轮的多轮题退回）；代码可单屏读完、只读上下文 ≤200 行</w:t>
            </w:r>
          </w:p>
        </w:tc>
      </w:tr>
      <w:tr>
        <w:trPr>
          <w:trHeight w:val="0"/>
        </w:trPr>
        <w:tc>
          <w:tcPr>
            <w:tcW w:w="4910" w:type="dxa"/>
          </w:tcPr>
          <w:p>
            <w:pPr/>
            <w:r/>
          </w:p>
        </w:tc>
        <w:tc>
          <w:tcPr>
            <w:tcW w:w="4910" w:type="dxa"/>
          </w:tcPr>
          <w:p>
            <w:pPr/>
            <w:r>
              <w:t xml:space="preserve">陷阱可证</w:t>
            </w:r>
          </w:p>
        </w:tc>
        <w:tc>
          <w:tcPr>
            <w:tcW w:w="4924" w:type="dxa"/>
          </w:tcPr>
          <w:p>
            <w:pPr/>
            <w:r>
              <w:t xml:space="preserve">反例程序在声明语言版本/平台上实际触发陷阱，附运行日志；概率性陷阱附复现率</w:t>
            </w:r>
          </w:p>
        </w:tc>
      </w:tr>
      <w:tr>
        <w:trPr>
          <w:trHeight w:val="0"/>
        </w:trPr>
        <w:tc>
          <w:tcPr>
            <w:tcW w:w="4910" w:type="dxa"/>
          </w:tcPr>
          <w:p>
            <w:pPr/>
            <w:r/>
          </w:p>
        </w:tc>
        <w:tc>
          <w:tcPr>
            <w:tcW w:w="4910" w:type="dxa"/>
          </w:tcPr>
          <w:p>
            <w:pPr/>
            <w:r>
              <w:t xml:space="preserve">挑战有效</w:t>
            </w:r>
          </w:p>
        </w:tc>
        <w:tc>
          <w:tcPr>
            <w:tcW w:w="4924" w:type="dxa"/>
          </w:tcPr>
          <w:p>
            <w:pPr/>
            <w:r>
              <w:t xml:space="preserve">prompt 内嵌的错误前提/挑战在 expert_design_notes 中说明预期区分开哪两类模型行为</w:t>
            </w:r>
          </w:p>
        </w:tc>
      </w:tr>
      <w:tr>
        <w:trPr>
          <w:trHeight w:val="0"/>
        </w:trPr>
        <w:tc>
          <w:tcPr>
            <w:tcW w:w="4910" w:type="dxa"/>
          </w:tcPr>
          <w:p>
            <w:pPr/>
            <w:r>
              <w:t xml:space="preserve">Golden</w:t>
            </w:r>
          </w:p>
        </w:tc>
        <w:tc>
          <w:tcPr>
            <w:tcW w:w="4910" w:type="dxa"/>
          </w:tcPr>
          <w:p>
            <w:pPr/>
            <w:r>
              <w:t xml:space="preserve">可执行性</w:t>
            </w:r>
          </w:p>
        </w:tc>
        <w:tc>
          <w:tcPr>
            <w:tcW w:w="4924" w:type="dxa"/>
          </w:tcPr>
          <w:p>
            <w:pPr/>
            <w:r>
              <w:t xml:space="preserve">含代码的参考答案与全部变体在声明环境下实际运行通过，输出与声明一致</w:t>
            </w:r>
          </w:p>
        </w:tc>
      </w:tr>
      <w:tr>
        <w:trPr>
          <w:trHeight w:val="0"/>
        </w:trPr>
        <w:tc>
          <w:tcPr>
            <w:tcW w:w="4910" w:type="dxa"/>
          </w:tcPr>
          <w:p>
            <w:pPr/>
            <w:r/>
          </w:p>
        </w:tc>
        <w:tc>
          <w:tcPr>
            <w:tcW w:w="4910" w:type="dxa"/>
          </w:tcPr>
          <w:p>
            <w:pPr/>
            <w:r>
              <w:t xml:space="preserve">改动点锚定</w:t>
            </w:r>
          </w:p>
        </w:tc>
        <w:tc>
          <w:tcPr>
            <w:tcW w:w="4924" w:type="dxa"/>
          </w:tcPr>
          <w:p>
            <w:pPr/>
            <w:r>
              <w:t xml:space="preserve">每处改动点有指向参考答案的行级映射，并有对应 UT 方法覆盖，无「解释清楚」类模糊表述</w:t>
            </w:r>
          </w:p>
        </w:tc>
      </w:tr>
      <w:tr>
        <w:trPr>
          <w:trHeight w:val="0"/>
        </w:trPr>
        <w:tc>
          <w:tcPr>
            <w:tcW w:w="4910" w:type="dxa"/>
          </w:tcPr>
          <w:p>
            <w:pPr/>
            <w:r/>
          </w:p>
        </w:tc>
        <w:tc>
          <w:tcPr>
            <w:tcW w:w="4910" w:type="dxa"/>
          </w:tcPr>
          <w:p>
            <w:pPr/>
            <w:r>
              <w:t xml:space="preserve">变体完备</w:t>
            </w:r>
          </w:p>
        </w:tc>
        <w:tc>
          <w:tcPr>
            <w:tcW w:w="4924" w:type="dxa"/>
          </w:tcPr>
          <w:p>
            <w:pPr/>
            <w:r>
              <w:t xml:space="preserve">≥2 个功能等价、写法不同的变体，各附运行输出与等价论证</w:t>
            </w:r>
          </w:p>
        </w:tc>
      </w:tr>
      <w:tr>
        <w:trPr>
          <w:trHeight w:val="0"/>
        </w:trPr>
        <w:tc>
          <w:tcPr>
            <w:tcW w:w="4910" w:type="dxa"/>
          </w:tcPr>
          <w:p>
            <w:pPr/>
            <w:r/>
          </w:p>
        </w:tc>
        <w:tc>
          <w:tcPr>
            <w:tcW w:w="4910" w:type="dxa"/>
          </w:tcPr>
          <w:p>
            <w:pPr/>
            <w:r>
              <w:t xml:space="preserve">边界完备</w:t>
            </w:r>
          </w:p>
        </w:tc>
        <w:tc>
          <w:tcPr>
            <w:tcW w:w="4924" w:type="dxa"/>
          </w:tcPr>
          <w:p>
            <w:pPr/>
            <w:r>
              <w:t xml:space="preserve">明确列出不在考察范围内、不扣分的行为；≥1 个「能跑但语义错」的反例边界</w:t>
            </w:r>
          </w:p>
        </w:tc>
      </w:tr>
      <w:tr>
        <w:trPr>
          <w:trHeight w:val="0"/>
        </w:trPr>
        <w:tc>
          <w:tcPr>
            <w:tcW w:w="4910" w:type="dxa"/>
          </w:tcPr>
          <w:p>
            <w:pPr/>
            <w:r>
              <w:t xml:space="preserve">UT</w:t>
            </w:r>
          </w:p>
        </w:tc>
        <w:tc>
          <w:tcPr>
            <w:tcW w:w="4910" w:type="dxa"/>
          </w:tcPr>
          <w:p>
            <w:pPr/>
            <w:r>
              <w:t xml:space="preserve">断言无二义性</w:t>
            </w:r>
          </w:p>
        </w:tc>
        <w:tc>
          <w:tcPr>
            <w:tcW w:w="4924" w:type="dxa"/>
          </w:tcPr>
          <w:p>
            <w:pPr/>
            <w:r>
              <w:t xml:space="preserve">杜绝「基本正确」「大致满足」「分析深入」等表述，每个 UT 方法均为可由代码执行客观判定的断言</w:t>
            </w:r>
          </w:p>
        </w:tc>
      </w:tr>
      <w:tr>
        <w:trPr>
          <w:trHeight w:val="0"/>
        </w:trPr>
        <w:tc>
          <w:tcPr>
            <w:tcW w:w="4910" w:type="dxa"/>
          </w:tcPr>
          <w:p>
            <w:pPr/>
            <w:r/>
          </w:p>
        </w:tc>
        <w:tc>
          <w:tcPr>
            <w:tcW w:w="4910" w:type="dxa"/>
          </w:tcPr>
          <w:p>
            <w:pPr/>
            <w:r>
              <w:t xml:space="preserve">数值约束</w:t>
            </w:r>
          </w:p>
        </w:tc>
        <w:tc>
          <w:tcPr>
            <w:tcW w:w="4924" w:type="dxa"/>
          </w:tcPr>
          <w:p>
            <w:pPr/>
            <w:r>
              <w:t xml:space="preserve">UT 方法 &gt; 20（≥21）；针对预设 badpattern 的 UT ≥2 条；三必需维度全覆盖；gating UT 1–3 条</w:t>
            </w:r>
          </w:p>
        </w:tc>
      </w:tr>
      <w:tr>
        <w:trPr>
          <w:trHeight w:val="0"/>
        </w:trPr>
        <w:tc>
          <w:tcPr>
            <w:tcW w:w="4910" w:type="dxa"/>
          </w:tcPr>
          <w:p>
            <w:pPr/>
            <w:r/>
          </w:p>
        </w:tc>
        <w:tc>
          <w:tcPr>
            <w:tcW w:w="4910" w:type="dxa"/>
          </w:tcPr>
          <w:p>
            <w:pPr/>
            <w:r>
              <w:t xml:space="preserve">证据映射</w:t>
            </w:r>
          </w:p>
        </w:tc>
        <w:tc>
          <w:tcPr>
            <w:tcW w:w="4924" w:type="dxa"/>
          </w:tcPr>
          <w:p>
            <w:pPr/>
            <w:r>
              <w:t xml:space="preserve">每个 UT 方法声明 evidence_required（核验什么证据）与提取方法</w:t>
            </w:r>
          </w:p>
        </w:tc>
      </w:tr>
      <w:tr>
        <w:trPr>
          <w:trHeight w:val="0"/>
        </w:trPr>
        <w:tc>
          <w:tcPr>
            <w:tcW w:w="4910" w:type="dxa"/>
          </w:tcPr>
          <w:p>
            <w:pPr/>
            <w:r/>
          </w:p>
        </w:tc>
        <w:tc>
          <w:tcPr>
            <w:tcW w:w="4910" w:type="dxa"/>
          </w:tcPr>
          <w:p>
            <w:pPr/>
            <w:r>
              <w:t xml:space="preserve">判分方式标注</w:t>
            </w:r>
          </w:p>
        </w:tc>
        <w:tc>
          <w:tcPr>
            <w:tcW w:w="4924" w:type="dxa"/>
          </w:tcPr>
          <w:p>
            <w:pPr/>
            <w:r>
              <w:t xml:space="preserve">每个 UT 方法 judge_type 统一为 unit_test；gating UT 由 UT 断言判定</w:t>
            </w:r>
          </w:p>
        </w:tc>
      </w:tr>
      <w:tr>
        <w:trPr>
          <w:trHeight w:val="0"/>
        </w:trPr>
        <w:tc>
          <w:tcPr>
            <w:tcW w:w="4910" w:type="dxa"/>
          </w:tcPr>
          <w:p>
            <w:pPr/>
            <w:r/>
          </w:p>
        </w:tc>
        <w:tc>
          <w:tcPr>
            <w:tcW w:w="4910" w:type="dxa"/>
          </w:tcPr>
          <w:p>
            <w:pPr/>
            <w:r>
              <w:t xml:space="preserve">不锁定表述</w:t>
            </w:r>
          </w:p>
        </w:tc>
        <w:tc>
          <w:tcPr>
            <w:tcW w:w="4924" w:type="dxa"/>
          </w:tcPr>
          <w:p>
            <w:pPr/>
            <w:r>
              <w:t xml:space="preserve">只判语义命中，不判特定词汇/函数名/讲述顺序；等价表述拿同样的分</w:t>
            </w:r>
          </w:p>
        </w:tc>
      </w:tr>
      <w:tr>
        <w:trPr>
          <w:trHeight w:val="0"/>
        </w:trPr>
        <w:tc>
          <w:tcPr>
            <w:tcW w:w="4910" w:type="dxa"/>
          </w:tcPr>
          <w:p>
            <w:pPr/>
            <w:r>
              <w:t xml:space="preserve">判分脚本</w:t>
            </w:r>
          </w:p>
        </w:tc>
        <w:tc>
          <w:tcPr>
            <w:tcW w:w="4910" w:type="dxa"/>
          </w:tcPr>
          <w:p>
            <w:pPr/>
            <w:r>
              <w:t xml:space="preserve">脚本可运行</w:t>
            </w:r>
          </w:p>
        </w:tc>
        <w:tc>
          <w:tcPr>
            <w:tcW w:w="4924" w:type="dxa"/>
          </w:tcPr>
          <w:p>
            <w:pPr/>
            <w:r>
              <w:t xml:space="preserve">tests/score.py 可直接运行，执行 tests/ 下全量 UT 方法并输出结构化 JSON，主分 = UT 通过率，不调用任何 LLM</w:t>
            </w:r>
          </w:p>
        </w:tc>
      </w:tr>
      <w:tr>
        <w:trPr>
          <w:trHeight w:val="0"/>
        </w:trPr>
        <w:tc>
          <w:tcPr>
            <w:tcW w:w="4910" w:type="dxa"/>
          </w:tcPr>
          <w:p>
            <w:pPr/>
            <w:r/>
          </w:p>
        </w:tc>
        <w:tc>
          <w:tcPr>
            <w:tcW w:w="4910" w:type="dxa"/>
          </w:tcPr>
          <w:p>
            <w:pPr/>
            <w:r>
              <w:t xml:space="preserve">UT 可追溯</w:t>
            </w:r>
          </w:p>
        </w:tc>
        <w:tc>
          <w:tcPr>
            <w:tcW w:w="4924" w:type="dxa"/>
          </w:tcPr>
          <w:p>
            <w:pPr/>
            <w:r>
              <w:t xml:space="preserve">每个 UT 方法具名（test_*）并对应改动点/维度，命中时回写命中的原文片段与 UT 方法名</w:t>
            </w:r>
          </w:p>
        </w:tc>
      </w:tr>
      <w:tr>
        <w:trPr>
          <w:trHeight w:val="0"/>
        </w:trPr>
        <w:tc>
          <w:tcPr>
            <w:tcW w:w="4910" w:type="dxa"/>
          </w:tcPr>
          <w:p>
            <w:pPr/>
            <w:r/>
          </w:p>
        </w:tc>
        <w:tc>
          <w:tcPr>
            <w:tcW w:w="4910" w:type="dxa"/>
          </w:tcPr>
          <w:p>
            <w:pPr/>
            <w:r>
              <w:t xml:space="preserve">判分确定性</w:t>
            </w:r>
          </w:p>
        </w:tc>
        <w:tc>
          <w:tcPr>
            <w:tcW w:w="4924" w:type="dxa"/>
          </w:tcPr>
          <w:p>
            <w:pPr/>
            <w:r>
              <w:t xml:space="preserve">同答卷连跑 3 次逐条 UT 通过/失败与 gating 一票否决判定 100% 一致</w:t>
            </w:r>
          </w:p>
        </w:tc>
      </w:tr>
      <w:tr>
        <w:trPr>
          <w:trHeight w:val="0"/>
        </w:trPr>
        <w:tc>
          <w:tcPr>
            <w:tcW w:w="4910" w:type="dxa"/>
          </w:tcPr>
          <w:p>
            <w:pPr/>
            <w:r/>
          </w:p>
        </w:tc>
        <w:tc>
          <w:tcPr>
            <w:tcW w:w="4910" w:type="dxa"/>
          </w:tcPr>
          <w:p>
            <w:pPr/>
            <w:r>
              <w:t xml:space="preserve">badpattern 锚定</w:t>
            </w:r>
          </w:p>
        </w:tc>
        <w:tc>
          <w:tcPr>
            <w:tcW w:w="4924" w:type="dxa"/>
          </w:tcPr>
          <w:p>
            <w:pPr/>
            <w:r>
              <w:t xml:space="preserve">相关 UT（含 gating）均判定模型实际改动后的代码是否产生 badpattern，而非题面是否包含 badpattern 命题</w:t>
            </w:r>
          </w:p>
        </w:tc>
      </w:tr>
      <w:tr>
        <w:trPr>
          <w:trHeight w:val="0"/>
        </w:trPr>
        <w:tc>
          <w:tcPr>
            <w:tcW w:w="4910" w:type="dxa"/>
          </w:tcPr>
          <w:p>
            <w:pPr/>
            <w:r>
              <w:t xml:space="preserve">校准</w:t>
            </w:r>
          </w:p>
        </w:tc>
        <w:tc>
          <w:tcPr>
            <w:tcW w:w="4910" w:type="dxa"/>
          </w:tcPr>
          <w:p>
            <w:pPr/>
            <w:r>
              <w:t xml:space="preserve">四件套齐备</w:t>
            </w:r>
          </w:p>
        </w:tc>
        <w:tc>
          <w:tcPr>
            <w:tcW w:w="4924" w:type="dxa"/>
          </w:tcPr>
          <w:p>
            <w:pPr/>
            <w:r>
              <w:t xml:space="preserve">满分 = 1.0；蒙对 ≤0.30；等价 ≥0.90；缺陷样例的 UT 失败与结果单逐条一致</w:t>
            </w:r>
          </w:p>
        </w:tc>
      </w:tr>
      <w:tr>
        <w:trPr>
          <w:trHeight w:val="0"/>
        </w:trPr>
        <w:tc>
          <w:tcPr>
            <w:tcW w:w="4910" w:type="dxa"/>
          </w:tcPr>
          <w:p>
            <w:pPr/>
            <w:r/>
          </w:p>
        </w:tc>
        <w:tc>
          <w:tcPr>
            <w:tcW w:w="4910" w:type="dxa"/>
          </w:tcPr>
          <w:p>
            <w:pPr/>
            <w:r>
              <w:t xml:space="preserve">判分依据明确</w:t>
            </w:r>
          </w:p>
        </w:tc>
        <w:tc>
          <w:tcPr>
            <w:tcW w:w="4924" w:type="dxa"/>
          </w:tcPr>
          <w:p>
            <w:pPr/>
            <w:r>
              <w:t xml:space="preserve">每份结果单的 UT 通过/失败依据明确对应具名 UT 方法；供应商说不清 UT 失败依据即判该题判分不合格</w:t>
            </w:r>
          </w:p>
        </w:tc>
      </w:tr>
      <w:tr>
        <w:trPr>
          <w:trHeight w:val="0"/>
        </w:trPr>
        <w:tc>
          <w:tcPr>
            <w:tcW w:w="4910" w:type="dxa"/>
          </w:tcPr>
          <w:p>
            <w:pPr/>
            <w:r>
              <w:t xml:space="preserve">基线</w:t>
            </w:r>
          </w:p>
        </w:tc>
        <w:tc>
          <w:tcPr>
            <w:tcW w:w="4910" w:type="dxa"/>
          </w:tcPr>
          <w:p>
            <w:pPr/>
            <w:r>
              <w:t xml:space="preserve">难度与区分度</w:t>
            </w:r>
          </w:p>
        </w:tc>
        <w:tc>
          <w:tcPr>
            <w:tcW w:w="4924" w:type="dxa"/>
          </w:tcPr>
          <w:p>
            <w:pPr>
              <w:numPr>
                <w:ilvl w:val="0"/>
                <w:numId w:val="66"/>
              </w:numPr>
            </w:pPr>
            <w:r>
              <w:rPr>
                <w:b w:val="1"/>
              </w:rPr>
              <w:t xml:space="preserve">passrate</w:t>
            </w:r>
            <w:r>
              <w:rPr/>
              <w:t xml:space="preserve">判分，tests 全对为1否则为0；</w:t>
            </w:r>
          </w:p>
          <w:p>
            <w:pPr>
              <w:numPr>
                <w:ilvl w:val="0"/>
                <w:numId w:val="66"/>
              </w:numPr>
            </w:pPr>
            <w:r>
              <w:rPr/>
              <w:t xml:space="preserve">qwen3.8max、kimi-k3、glm5.3、opus5.5、gpt6-astra</w:t>
            </w:r>
            <w:r>
              <w:rPr>
                <w:b w:val="1"/>
              </w:rPr>
              <w:t xml:space="preserve">五个</w:t>
            </w:r>
            <w:r>
              <w:rPr/>
              <w:t xml:space="preserve">模型上运行</w:t>
            </w:r>
            <w:r>
              <w:rPr>
                <w:b w:val="1"/>
              </w:rPr>
              <w:t xml:space="preserve">4次</w:t>
            </w:r>
            <w:r>
              <w:rPr/>
              <w:t xml:space="preserve">，结果</w:t>
            </w:r>
            <w:r>
              <w:rPr>
                <w:b w:val="1"/>
              </w:rPr>
              <w:t xml:space="preserve">有区分度</w:t>
            </w:r>
            <w:r>
              <w:rPr/>
              <w:t xml:space="preserve">（unit_test 没做出来的 case 各不相同）；</w:t>
            </w:r>
          </w:p>
          <w:p>
            <w:pPr>
              <w:numPr>
                <w:ilvl w:val="0"/>
                <w:numId w:val="66"/>
              </w:numPr>
            </w:pPr>
            <w:r>
              <w:rPr/>
              <w:t xml:space="preserve">5个模型4次结果pass_rate平均值</w:t>
            </w:r>
            <w:r>
              <w:rPr>
                <w:b w:val="1"/>
              </w:rPr>
              <w:t xml:space="preserve">低于70%</w:t>
            </w:r>
            <w:r>
              <w:rPr/>
              <w:t xml:space="preserve">（至少有2次非全1），不可4次都全1或全0；opus 至少有一次全1。</w:t>
            </w:r>
          </w:p>
        </w:tc>
      </w:tr>
      <w:tr>
        <w:trPr>
          <w:trHeight w:val="0"/>
        </w:trPr>
        <w:tc>
          <w:tcPr>
            <w:tcW w:w="4910" w:type="dxa"/>
          </w:tcPr>
          <w:p>
            <w:pPr/>
            <w:r>
              <w:t xml:space="preserve">合规</w:t>
            </w:r>
          </w:p>
        </w:tc>
        <w:tc>
          <w:tcPr>
            <w:tcW w:w="4910" w:type="dxa"/>
          </w:tcPr>
          <w:p>
            <w:pPr/>
            <w:r>
              <w:t xml:space="preserve">来源与脱敏</w:t>
            </w:r>
          </w:p>
        </w:tc>
        <w:tc>
          <w:tcPr>
            <w:tcW w:w="4924" w:type="dxa"/>
          </w:tcPr>
          <w:p>
            <w:pPr/>
            <w:r>
              <w:t xml:space="preserve">许可证为宽松许可或有授权记录；已脱敏；已完成公开 benchmark 相似度自查；无真实凭证</w:t>
            </w:r>
          </w:p>
        </w:tc>
      </w:tr>
    </w:tbl>
    <w:p>
      <w:pPr/>
      <w:r>
        <w:t xml:space="preserve">以上各项任一不合格，该题按退修处理。</w:t>
      </w:r>
    </w:p>
    <w:sectPr>
      <w:pgSz w:w="16905" w:h="23820"/>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10" w15:restartNumberingAfterBreak="0">
    <w:lvl w:ilvl="0">
      <w:start w:val="1"/>
      <w:numFmt w:val="decimal"/>
      <w:lvlText w:val="%1."/>
      <w:lvlJc w:val="left"/>
      <w:pPr>
        <w:ind w:left="420" w:hanging="420"/>
      </w:pPr>
      <w:rPr/>
    </w:lvl>
  </w:abstractNum>
  <w:abstractNum w:abstractNumId="7" w15:restartNumberingAfterBreak="0">
    <w:lvl w:ilvl="0">
      <w:start w:val="1"/>
      <w:numFmt w:val="decimal"/>
      <w:lvlText w:val="%1."/>
      <w:lvlJc w:val="left"/>
      <w:pPr>
        <w:ind w:left="420" w:hanging="420"/>
      </w:pPr>
      <w:rPr/>
    </w:lvl>
  </w:abstractNum>
  <w:abstractNum w:abstractNumId="26" w15:restartNumberingAfterBreak="0">
    <w:lvl w:ilvl="0">
      <w:start w:val="1"/>
      <w:numFmt w:val="bullet"/>
      <w:lvlText w:val="●"/>
      <w:lvlJc w:val="left"/>
      <w:pPr>
        <w:ind w:left="420" w:hanging="420"/>
      </w:pPr>
      <w:rPr/>
    </w:lvl>
  </w:abstractNum>
  <w:abstractNum w:abstractNumId="14" w15:restartNumberingAfterBreak="0">
    <w:lvl w:ilvl="0">
      <w:start w:val="1"/>
      <w:numFmt w:val="bullet"/>
      <w:lvlText w:val="●"/>
      <w:lvlJc w:val="left"/>
      <w:pPr>
        <w:ind w:left="420" w:hanging="420"/>
      </w:pPr>
      <w:rPr/>
    </w:lvl>
  </w:abstractNum>
  <w:abstractNum w:abstractNumId="37" w15:restartNumberingAfterBreak="0">
    <w:lvl w:ilvl="0">
      <w:start w:val="1"/>
      <w:numFmt w:val="bullet"/>
      <w:lvlText w:val="●"/>
      <w:lvlJc w:val="left"/>
      <w:pPr>
        <w:ind w:left="420" w:hanging="420"/>
      </w:pPr>
      <w:rPr/>
    </w:lvl>
  </w:abstractNum>
  <w:abstractNum w:abstractNumId="55" w15:restartNumberingAfterBreak="0">
    <w:lvl w:ilvl="0">
      <w:start w:val="1"/>
      <w:numFmt w:val="bullet"/>
      <w:lvlText w:val="●"/>
      <w:lvlJc w:val="left"/>
      <w:pPr>
        <w:ind w:left="420" w:hanging="420"/>
      </w:pPr>
      <w:rPr/>
    </w:lvl>
  </w:abstractNum>
  <w:abstractNum w:abstractNumId="27" w15:restartNumberingAfterBreak="0">
    <w:lvl w:ilvl="0">
      <w:start w:val="1"/>
      <w:numFmt w:val="bullet"/>
      <w:lvlText w:val="●"/>
      <w:lvlJc w:val="left"/>
      <w:pPr>
        <w:ind w:left="420" w:hanging="420"/>
      </w:pPr>
      <w:rPr/>
    </w:lvl>
  </w:abstractNum>
  <w:abstractNum w:abstractNumId="28" w15:restartNumberingAfterBreak="0">
    <w:lvl w:ilvl="0">
      <w:start w:val="1"/>
      <w:numFmt w:val="bullet"/>
      <w:lvlText w:val="●"/>
      <w:lvlJc w:val="left"/>
      <w:pPr>
        <w:ind w:left="420" w:hanging="420"/>
      </w:pPr>
      <w:rPr/>
    </w:lvl>
  </w:abstractNum>
  <w:abstractNum w:abstractNumId="56" w15:restartNumberingAfterBreak="0">
    <w:lvl w:ilvl="0">
      <w:start w:val="1"/>
      <w:numFmt w:val="bullet"/>
      <w:lvlText w:val="●"/>
      <w:lvlJc w:val="left"/>
      <w:pPr>
        <w:ind w:left="420" w:hanging="420"/>
      </w:pPr>
      <w:rPr/>
    </w:lvl>
  </w:abstractNum>
  <w:abstractNum w:abstractNumId="4" w15:restartNumberingAfterBreak="0">
    <w:lvl w:ilvl="0">
      <w:start w:val="1"/>
      <w:numFmt w:val="bullet"/>
      <w:lvlText w:val="●"/>
      <w:lvlJc w:val="left"/>
      <w:pPr>
        <w:ind w:left="420" w:hanging="420"/>
      </w:pPr>
      <w:rPr/>
    </w:lvl>
  </w:abstractNum>
  <w:abstractNum w:abstractNumId="9" w15:restartNumberingAfterBreak="0">
    <w:lvl w:ilvl="0">
      <w:start w:val="1"/>
      <w:numFmt w:val="decimal"/>
      <w:lvlText w:val="%1."/>
      <w:lvlJc w:val="left"/>
      <w:pPr>
        <w:ind w:left="420" w:hanging="420"/>
      </w:pPr>
      <w:rPr/>
    </w:lvl>
  </w:abstractNum>
  <w:abstractNum w:abstractNumId="42" w15:restartNumberingAfterBreak="0">
    <w:lvl w:ilvl="0">
      <w:start w:val="1"/>
      <w:numFmt w:val="bullet"/>
      <w:lvlText w:val="●"/>
      <w:lvlJc w:val="left"/>
      <w:pPr>
        <w:ind w:left="420" w:hanging="420"/>
      </w:pPr>
      <w:rPr/>
    </w:lvl>
  </w:abstractNum>
  <w:abstractNum w:abstractNumId="49" w15:restartNumberingAfterBreak="0">
    <w:lvl w:ilvl="0">
      <w:start w:val="1"/>
      <w:numFmt w:val="bullet"/>
      <w:lvlText w:val="●"/>
      <w:lvlJc w:val="left"/>
      <w:pPr>
        <w:ind w:left="420" w:hanging="420"/>
      </w:pPr>
      <w:rPr/>
    </w:lvl>
  </w:abstractNum>
  <w:abstractNum w:abstractNumId="50" w15:restartNumberingAfterBreak="0">
    <w:lvl w:ilvl="0">
      <w:start w:val="1"/>
      <w:numFmt w:val="bullet"/>
      <w:lvlText w:val="●"/>
      <w:lvlJc w:val="left"/>
      <w:pPr>
        <w:ind w:left="420" w:hanging="420"/>
      </w:pPr>
      <w:rPr/>
    </w:lvl>
  </w:abstractNum>
  <w:abstractNum w:abstractNumId="41" w15:restartNumberingAfterBreak="0">
    <w:lvl w:ilvl="0">
      <w:start w:val="1"/>
      <w:numFmt w:val="bullet"/>
      <w:lvlText w:val="●"/>
      <w:lvlJc w:val="left"/>
      <w:pPr>
        <w:ind w:left="420" w:hanging="420"/>
      </w:pPr>
      <w:rPr/>
    </w:lvl>
  </w:abstractNum>
  <w:abstractNum w:abstractNumId="13" w15:restartNumberingAfterBreak="0">
    <w:lvl w:ilvl="0">
      <w:start w:val="1"/>
      <w:numFmt w:val="bullet"/>
      <w:lvlText w:val="●"/>
      <w:lvlJc w:val="left"/>
      <w:pPr>
        <w:ind w:left="420" w:hanging="420"/>
      </w:pPr>
      <w:rPr/>
    </w:lvl>
  </w:abstractNum>
  <w:abstractNum w:abstractNumId="18" w15:restartNumberingAfterBreak="0">
    <w:lvl w:ilvl="0">
      <w:start w:val="1"/>
      <w:numFmt w:val="bullet"/>
      <w:lvlText w:val="●"/>
      <w:lvlJc w:val="left"/>
      <w:pPr>
        <w:ind w:left="420" w:hanging="420"/>
      </w:pPr>
      <w:rPr/>
    </w:lvl>
  </w:abstractNum>
  <w:abstractNum w:abstractNumId="32" w15:restartNumberingAfterBreak="0">
    <w:lvl w:ilvl="0">
      <w:start w:val="1"/>
      <w:numFmt w:val="bullet"/>
      <w:lvlText w:val="●"/>
      <w:lvlJc w:val="left"/>
      <w:pPr>
        <w:ind w:left="420" w:hanging="420"/>
      </w:pPr>
      <w:rPr/>
    </w:lvl>
  </w:abstractNum>
  <w:abstractNum w:abstractNumId="35" w15:restartNumberingAfterBreak="0">
    <w:lvl w:ilvl="0">
      <w:start w:val="1"/>
      <w:numFmt w:val="bullet"/>
      <w:lvlText w:val="●"/>
      <w:lvlJc w:val="left"/>
      <w:pPr>
        <w:ind w:left="420" w:hanging="420"/>
      </w:pPr>
      <w:rPr/>
    </w:lvl>
  </w:abstractNum>
  <w:abstractNum w:abstractNumId="53" w15:restartNumberingAfterBreak="0">
    <w:lvl w:ilvl="0">
      <w:start w:val="1"/>
      <w:numFmt w:val="bullet"/>
      <w:lvlText w:val="●"/>
      <w:lvlJc w:val="left"/>
      <w:pPr>
        <w:ind w:left="420" w:hanging="420"/>
      </w:pPr>
      <w:rPr/>
    </w:lvl>
  </w:abstractNum>
  <w:abstractNum w:abstractNumId="43" w15:restartNumberingAfterBreak="0">
    <w:lvl w:ilvl="0">
      <w:start w:val="1"/>
      <w:numFmt w:val="decimal"/>
      <w:lvlText w:val="%1."/>
      <w:lvlJc w:val="left"/>
      <w:pPr>
        <w:ind w:left="420" w:hanging="420"/>
      </w:pPr>
      <w:rPr/>
    </w:lvl>
  </w:abstractNum>
  <w:abstractNum w:abstractNumId="8" w15:restartNumberingAfterBreak="0">
    <w:lvl w:ilvl="0">
      <w:start w:val="1"/>
      <w:numFmt w:val="decimal"/>
      <w:lvlText w:val="%1."/>
      <w:lvlJc w:val="left"/>
      <w:pPr>
        <w:ind w:left="420" w:hanging="420"/>
      </w:pPr>
      <w:rPr/>
    </w:lvl>
  </w:abstractNum>
  <w:abstractNum w:abstractNumId="38" w15:restartNumberingAfterBreak="0">
    <w:lvl w:ilvl="0">
      <w:start w:val="1"/>
      <w:numFmt w:val="bullet"/>
      <w:lvlText w:val="●"/>
      <w:lvlJc w:val="left"/>
      <w:pPr>
        <w:ind w:left="420" w:hanging="420"/>
      </w:pPr>
      <w:rPr/>
    </w:lvl>
  </w:abstractNum>
  <w:abstractNum w:abstractNumId="61" w15:restartNumberingAfterBreak="0">
    <w:lvl w:ilvl="0">
      <w:start w:val="1"/>
      <w:numFmt w:val="bullet"/>
      <w:lvlText w:val="●"/>
      <w:lvlJc w:val="left"/>
      <w:pPr>
        <w:ind w:left="420" w:hanging="420"/>
      </w:pPr>
      <w:rPr/>
    </w:lvl>
  </w:abstractNum>
  <w:abstractNum w:abstractNumId="2" w15:restartNumberingAfterBreak="0">
    <w:lvl w:ilvl="0">
      <w:start w:val="1"/>
      <w:numFmt w:val="decimal"/>
      <w:lvlText w:val="%1."/>
      <w:lvlJc w:val="left"/>
      <w:pPr>
        <w:ind w:left="420" w:hanging="420"/>
      </w:pPr>
      <w:rPr/>
    </w:lvl>
  </w:abstractNum>
  <w:abstractNum w:abstractNumId="39" w15:restartNumberingAfterBreak="0">
    <w:lvl w:ilvl="0">
      <w:start w:val="1"/>
      <w:numFmt w:val="bullet"/>
      <w:lvlText w:val="●"/>
      <w:lvlJc w:val="left"/>
      <w:pPr>
        <w:ind w:left="420" w:hanging="420"/>
      </w:pPr>
      <w:rPr/>
    </w:lvl>
  </w:abstractNum>
  <w:abstractNum w:abstractNumId="59" w15:restartNumberingAfterBreak="0">
    <w:lvl w:ilvl="0">
      <w:start w:val="1"/>
      <w:numFmt w:val="bullet"/>
      <w:lvlText w:val="●"/>
      <w:lvlJc w:val="left"/>
      <w:pPr>
        <w:ind w:left="420" w:hanging="420"/>
      </w:pPr>
      <w:rPr/>
    </w:lvl>
  </w:abstractNum>
  <w:abstractNum w:abstractNumId="5" w15:restartNumberingAfterBreak="0">
    <w:lvl w:ilvl="0">
      <w:start w:val="1"/>
      <w:numFmt w:val="bullet"/>
      <w:lvlText w:val="●"/>
      <w:lvlJc w:val="left"/>
      <w:pPr>
        <w:ind w:left="420" w:hanging="420"/>
      </w:pPr>
      <w:rPr/>
    </w:lvl>
  </w:abstractNum>
  <w:abstractNum w:abstractNumId="6" w15:restartNumberingAfterBreak="0">
    <w:lvl w:ilvl="0">
      <w:start w:val="1"/>
      <w:numFmt w:val="decimal"/>
      <w:lvlText w:val="%1."/>
      <w:lvlJc w:val="left"/>
      <w:pPr>
        <w:ind w:left="420" w:hanging="420"/>
      </w:pPr>
      <w:rPr/>
    </w:lvl>
  </w:abstractNum>
  <w:abstractNum w:abstractNumId="45" w15:restartNumberingAfterBreak="0">
    <w:lvl w:ilvl="0">
      <w:start w:val="1"/>
      <w:numFmt w:val="decimal"/>
      <w:lvlText w:val="%1."/>
      <w:lvlJc w:val="left"/>
      <w:pPr>
        <w:ind w:left="420" w:hanging="420"/>
      </w:pPr>
      <w:rPr/>
    </w:lvl>
  </w:abstractNum>
  <w:abstractNum w:abstractNumId="40" w15:restartNumberingAfterBreak="0">
    <w:lvl w:ilvl="0">
      <w:start w:val="1"/>
      <w:numFmt w:val="bullet"/>
      <w:lvlText w:val="●"/>
      <w:lvlJc w:val="left"/>
      <w:pPr>
        <w:ind w:left="420" w:hanging="420"/>
      </w:pPr>
      <w:rPr/>
    </w:lvl>
  </w:abstractNum>
  <w:abstractNum w:abstractNumId="34" w15:restartNumberingAfterBreak="0">
    <w:lvl w:ilvl="0">
      <w:start w:val="1"/>
      <w:numFmt w:val="bullet"/>
      <w:lvlText w:val="●"/>
      <w:lvlJc w:val="left"/>
      <w:pPr>
        <w:ind w:left="420" w:hanging="420"/>
      </w:pPr>
      <w:rPr/>
    </w:lvl>
  </w:abstractNum>
  <w:abstractNum w:abstractNumId="19" w15:restartNumberingAfterBreak="0">
    <w:lvl w:ilvl="0">
      <w:start w:val="1"/>
      <w:numFmt w:val="bullet"/>
      <w:lvlText w:val="●"/>
      <w:lvlJc w:val="left"/>
      <w:pPr>
        <w:ind w:left="420" w:hanging="420"/>
      </w:pPr>
      <w:rPr/>
    </w:lvl>
  </w:abstractNum>
  <w:abstractNum w:abstractNumId="60" w15:restartNumberingAfterBreak="0">
    <w:lvl w:ilvl="0">
      <w:start w:val="1"/>
      <w:numFmt w:val="bullet"/>
      <w:lvlText w:val="●"/>
      <w:lvlJc w:val="left"/>
      <w:pPr>
        <w:ind w:left="420" w:hanging="420"/>
      </w:pPr>
      <w:rPr/>
    </w:lvl>
  </w:abstractNum>
  <w:abstractNum w:abstractNumId="63" w15:restartNumberingAfterBreak="0">
    <w:lvl w:ilvl="0">
      <w:start w:val="1"/>
      <w:numFmt w:val="bullet"/>
      <w:lvlText w:val="●"/>
      <w:lvlJc w:val="left"/>
      <w:pPr>
        <w:ind w:left="420" w:hanging="420"/>
      </w:pPr>
      <w:rPr/>
    </w:lvl>
  </w:abstractNum>
  <w:abstractNum w:abstractNumId="11" w15:restartNumberingAfterBreak="0">
    <w:lvl w:ilvl="0">
      <w:start w:val="1"/>
      <w:numFmt w:val="decimal"/>
      <w:lvlText w:val="%1."/>
      <w:lvlJc w:val="left"/>
      <w:pPr>
        <w:ind w:left="420" w:hanging="420"/>
      </w:pPr>
      <w:rPr/>
    </w:lvl>
  </w:abstractNum>
  <w:abstractNum w:abstractNumId="23" w15:restartNumberingAfterBreak="0">
    <w:lvl w:ilvl="0">
      <w:start w:val="1"/>
      <w:numFmt w:val="bullet"/>
      <w:lvlText w:val="●"/>
      <w:lvlJc w:val="left"/>
      <w:pPr>
        <w:ind w:left="420" w:hanging="420"/>
      </w:pPr>
      <w:rPr/>
    </w:lvl>
  </w:abstractNum>
  <w:abstractNum w:abstractNumId="46" w15:restartNumberingAfterBreak="0">
    <w:lvl w:ilvl="0">
      <w:start w:val="1"/>
      <w:numFmt w:val="decimal"/>
      <w:lvlText w:val="%1."/>
      <w:lvlJc w:val="left"/>
      <w:pPr>
        <w:ind w:left="420" w:hanging="420"/>
      </w:pPr>
      <w:rPr/>
    </w:lvl>
  </w:abstractNum>
  <w:abstractNum w:abstractNumId="0" w15:restartNumberingAfterBreak="0">
    <w:lvl w:ilvl="0">
      <w:start w:val="1"/>
      <w:numFmt w:val="decimal"/>
      <w:lvlText w:val="%1."/>
      <w:lvlJc w:val="left"/>
      <w:pPr>
        <w:ind w:left="420" w:hanging="420"/>
      </w:pPr>
      <w:rPr/>
    </w:lvl>
    <w:lvl w:ilvl="1">
      <w:start w:val="1"/>
      <w:numFmt w:val="lowerLetter"/>
      <w:lvlText w:val="%2."/>
      <w:lvlJc w:val="left"/>
      <w:pPr>
        <w:ind w:left="840" w:hanging="420"/>
      </w:pPr>
      <w:rPr/>
    </w:lvl>
  </w:abstractNum>
  <w:abstractNum w:abstractNumId="17" w15:restartNumberingAfterBreak="0">
    <w:lvl w:ilvl="0">
      <w:start w:val="1"/>
      <w:numFmt w:val="bullet"/>
      <w:lvlText w:val="●"/>
      <w:lvlJc w:val="left"/>
      <w:pPr>
        <w:ind w:left="420" w:hanging="420"/>
      </w:pPr>
      <w:rPr/>
    </w:lvl>
  </w:abstractNum>
  <w:abstractNum w:abstractNumId="3" w15:restartNumberingAfterBreak="0">
    <w:lvl w:ilvl="0">
      <w:start w:val="1"/>
      <w:numFmt w:val="decimal"/>
      <w:lvlText w:val="%1."/>
      <w:lvlJc w:val="left"/>
      <w:pPr>
        <w:ind w:left="420" w:hanging="420"/>
      </w:pPr>
      <w:rPr/>
    </w:lvl>
  </w:abstractNum>
  <w:abstractNum w:abstractNumId="48" w15:restartNumberingAfterBreak="0">
    <w:lvl w:ilvl="0">
      <w:start w:val="1"/>
      <w:numFmt w:val="decimal"/>
      <w:lvlText w:val="%1."/>
      <w:lvlJc w:val="left"/>
      <w:pPr>
        <w:ind w:left="420" w:hanging="420"/>
      </w:pPr>
      <w:rPr/>
    </w:lvl>
  </w:abstractNum>
  <w:abstractNum w:abstractNumId="44" w15:restartNumberingAfterBreak="0">
    <w:lvl w:ilvl="0">
      <w:start w:val="1"/>
      <w:numFmt w:val="decimal"/>
      <w:lvlText w:val="%1."/>
      <w:lvlJc w:val="left"/>
      <w:pPr>
        <w:ind w:left="420" w:hanging="420"/>
      </w:pPr>
      <w:rPr/>
    </w:lvl>
  </w:abstractNum>
  <w:abstractNum w:abstractNumId="62" w15:restartNumberingAfterBreak="0">
    <w:lvl w:ilvl="0">
      <w:start w:val="1"/>
      <w:numFmt w:val="bullet"/>
      <w:lvlText w:val="●"/>
      <w:lvlJc w:val="left"/>
      <w:pPr>
        <w:ind w:left="420" w:hanging="420"/>
      </w:pPr>
      <w:rPr/>
    </w:lvl>
  </w:abstractNum>
  <w:abstractNum w:abstractNumId="12" w15:restartNumberingAfterBreak="0">
    <w:lvl w:ilvl="0">
      <w:start w:val="1"/>
      <w:numFmt w:val="decimal"/>
      <w:lvlText w:val="%1."/>
      <w:lvlJc w:val="left"/>
      <w:pPr>
        <w:ind w:left="420" w:hanging="420"/>
      </w:pPr>
      <w:rPr/>
    </w:lvl>
  </w:abstractNum>
  <w:abstractNum w:abstractNumId="22" w15:restartNumberingAfterBreak="0">
    <w:lvl w:ilvl="0">
      <w:start w:val="1"/>
      <w:numFmt w:val="bullet"/>
      <w:lvlText w:val="●"/>
      <w:lvlJc w:val="left"/>
      <w:pPr>
        <w:ind w:left="420" w:hanging="420"/>
      </w:pPr>
      <w:rPr/>
    </w:lvl>
  </w:abstractNum>
  <w:abstractNum w:abstractNumId="64" w15:restartNumberingAfterBreak="0">
    <w:lvl w:ilvl="0">
      <w:start w:val="1"/>
      <w:numFmt w:val="bullet"/>
      <w:lvlText w:val="●"/>
      <w:lvlJc w:val="left"/>
      <w:pPr>
        <w:ind w:left="420" w:hanging="420"/>
      </w:pPr>
      <w:rPr/>
    </w:lvl>
  </w:abstractNum>
  <w:abstractNum w:abstractNumId="1" w15:restartNumberingAfterBreak="0">
    <w:lvl w:ilvl="0">
      <w:start w:val="1"/>
      <w:numFmt w:val="decimal"/>
      <w:lvlText w:val="%1."/>
      <w:lvlJc w:val="left"/>
      <w:pPr>
        <w:ind w:left="420" w:hanging="420"/>
      </w:pPr>
      <w:rPr/>
    </w:lvl>
  </w:abstractNum>
  <w:abstractNum w:abstractNumId="15" w15:restartNumberingAfterBreak="0">
    <w:lvl w:ilvl="0">
      <w:start w:val="1"/>
      <w:numFmt w:val="bullet"/>
      <w:lvlText w:val="●"/>
      <w:lvlJc w:val="left"/>
      <w:pPr>
        <w:ind w:left="420" w:hanging="420"/>
      </w:pPr>
      <w:rPr/>
    </w:lvl>
  </w:abstractNum>
  <w:abstractNum w:abstractNumId="57" w15:restartNumberingAfterBreak="0">
    <w:lvl w:ilvl="0">
      <w:start w:val="1"/>
      <w:numFmt w:val="bullet"/>
      <w:lvlText w:val="●"/>
      <w:lvlJc w:val="left"/>
      <w:pPr>
        <w:ind w:left="420" w:hanging="420"/>
      </w:pPr>
      <w:rPr/>
    </w:lvl>
  </w:abstractNum>
  <w:abstractNum w:abstractNumId="36" w15:restartNumberingAfterBreak="0">
    <w:lvl w:ilvl="0">
      <w:start w:val="1"/>
      <w:numFmt w:val="bullet"/>
      <w:lvlText w:val="●"/>
      <w:lvlJc w:val="left"/>
      <w:pPr>
        <w:ind w:left="420" w:hanging="420"/>
      </w:pPr>
      <w:rPr/>
    </w:lvl>
  </w:abstractNum>
  <w:abstractNum w:abstractNumId="58" w15:restartNumberingAfterBreak="0">
    <w:lvl w:ilvl="0">
      <w:start w:val="1"/>
      <w:numFmt w:val="bullet"/>
      <w:lvlText w:val="●"/>
      <w:lvlJc w:val="left"/>
      <w:pPr>
        <w:ind w:left="420" w:hanging="420"/>
      </w:pPr>
      <w:rPr/>
    </w:lvl>
  </w:abstractNum>
  <w:abstractNum w:abstractNumId="21" w15:restartNumberingAfterBreak="0">
    <w:lvl w:ilvl="0">
      <w:start w:val="1"/>
      <w:numFmt w:val="bullet"/>
      <w:lvlText w:val="●"/>
      <w:lvlJc w:val="left"/>
      <w:pPr>
        <w:ind w:left="420" w:hanging="420"/>
      </w:pPr>
      <w:rPr/>
    </w:lvl>
  </w:abstractNum>
  <w:abstractNum w:abstractNumId="16" w15:restartNumberingAfterBreak="0">
    <w:lvl w:ilvl="0">
      <w:start w:val="1"/>
      <w:numFmt w:val="bullet"/>
      <w:lvlText w:val="●"/>
      <w:lvlJc w:val="left"/>
      <w:pPr>
        <w:ind w:left="420" w:hanging="420"/>
      </w:pPr>
      <w:rPr/>
    </w:lvl>
  </w:abstractNum>
  <w:abstractNum w:abstractNumId="47" w15:restartNumberingAfterBreak="0">
    <w:lvl w:ilvl="0">
      <w:start w:val="1"/>
      <w:numFmt w:val="decimal"/>
      <w:lvlText w:val="%1."/>
      <w:lvlJc w:val="left"/>
      <w:pPr>
        <w:ind w:left="420" w:hanging="420"/>
      </w:pPr>
      <w:rPr/>
    </w:lvl>
  </w:abstractNum>
  <w:abstractNum w:abstractNumId="54" w15:restartNumberingAfterBreak="0">
    <w:lvl w:ilvl="0">
      <w:start w:val="1"/>
      <w:numFmt w:val="bullet"/>
      <w:lvlText w:val="●"/>
      <w:lvlJc w:val="left"/>
      <w:pPr>
        <w:ind w:left="420" w:hanging="420"/>
      </w:pPr>
      <w:rPr/>
    </w:lvl>
  </w:abstractNum>
  <w:abstractNum w:abstractNumId="65" w15:restartNumberingAfterBreak="0">
    <w:lvl w:ilvl="0">
      <w:start w:val="1"/>
      <w:numFmt w:val="decimal"/>
      <w:lvlText w:val="%1."/>
      <w:lvlJc w:val="left"/>
      <w:pPr>
        <w:ind w:left="420" w:hanging="420"/>
      </w:pPr>
      <w:rPr/>
    </w:lvl>
  </w:abstractNum>
  <w:abstractNum w:abstractNumId="33" w15:restartNumberingAfterBreak="0">
    <w:lvl w:ilvl="0">
      <w:start w:val="1"/>
      <w:numFmt w:val="bullet"/>
      <w:lvlText w:val="●"/>
      <w:lvlJc w:val="left"/>
      <w:pPr>
        <w:ind w:left="420" w:hanging="420"/>
      </w:pPr>
      <w:rPr/>
    </w:lvl>
  </w:abstractNum>
  <w:abstractNum w:abstractNumId="52" w15:restartNumberingAfterBreak="0">
    <w:lvl w:ilvl="0">
      <w:start w:val="1"/>
      <w:numFmt w:val="bullet"/>
      <w:lvlText w:val="●"/>
      <w:lvlJc w:val="left"/>
      <w:pPr>
        <w:ind w:left="420" w:hanging="420"/>
      </w:pPr>
      <w:rPr/>
    </w:lvl>
  </w:abstractNum>
  <w:abstractNum w:abstractNumId="20" w15:restartNumberingAfterBreak="0">
    <w:lvl w:ilvl="0">
      <w:start w:val="1"/>
      <w:numFmt w:val="bullet"/>
      <w:lvlText w:val="●"/>
      <w:lvlJc w:val="left"/>
      <w:pPr>
        <w:ind w:left="420" w:hanging="420"/>
      </w:pPr>
      <w:rPr/>
    </w:lvl>
  </w:abstractNum>
  <w:abstractNum w:abstractNumId="25" w15:restartNumberingAfterBreak="0">
    <w:lvl w:ilvl="0">
      <w:start w:val="1"/>
      <w:numFmt w:val="bullet"/>
      <w:lvlText w:val="●"/>
      <w:lvlJc w:val="left"/>
      <w:pPr>
        <w:ind w:left="420" w:hanging="420"/>
      </w:pPr>
      <w:rPr/>
    </w:lvl>
  </w:abstractNum>
  <w:abstractNum w:abstractNumId="31" w15:restartNumberingAfterBreak="0">
    <w:lvl w:ilvl="0">
      <w:start w:val="1"/>
      <w:numFmt w:val="bullet"/>
      <w:lvlText w:val="●"/>
      <w:lvlJc w:val="left"/>
      <w:pPr>
        <w:ind w:left="420" w:hanging="420"/>
      </w:pPr>
      <w:rPr/>
    </w:lvl>
  </w:abstractNum>
  <w:abstractNum w:abstractNumId="29" w15:restartNumberingAfterBreak="0">
    <w:lvl w:ilvl="0">
      <w:start w:val="1"/>
      <w:numFmt w:val="bullet"/>
      <w:lvlText w:val="●"/>
      <w:lvlJc w:val="left"/>
      <w:pPr>
        <w:ind w:left="420" w:hanging="420"/>
      </w:pPr>
      <w:rPr/>
    </w:lvl>
  </w:abstractNum>
  <w:abstractNum w:abstractNumId="24" w15:restartNumberingAfterBreak="0">
    <w:lvl w:ilvl="0">
      <w:start w:val="1"/>
      <w:numFmt w:val="bullet"/>
      <w:lvlText w:val="●"/>
      <w:lvlJc w:val="left"/>
      <w:pPr>
        <w:ind w:left="420" w:hanging="420"/>
      </w:pPr>
      <w:rPr/>
    </w:lvl>
  </w:abstractNum>
  <w:abstractNum w:abstractNumId="51" w15:restartNumberingAfterBreak="0">
    <w:lvl w:ilvl="0">
      <w:start w:val="1"/>
      <w:numFmt w:val="bullet"/>
      <w:lvlText w:val="●"/>
      <w:lvlJc w:val="left"/>
      <w:pPr>
        <w:ind w:left="420" w:hanging="420"/>
      </w:pPr>
      <w:rPr/>
    </w:lvl>
  </w:abstractNum>
  <w:abstractNum w:abstractNumId="30" w15:restartNumberingAfterBreak="0">
    <w:lvl w:ilvl="0">
      <w:start w:val="1"/>
      <w:numFmt w:val="bullet"/>
      <w:lvlText w:val="●"/>
      <w:lvlJc w:val="left"/>
      <w:pPr>
        <w:ind w:left="420" w:hanging="420"/>
      </w:pPr>
      <w:rPr/>
    </w:lvl>
  </w:abstractNum>
  <w:num w:numId="29">
    <w:abstractNumId w:val="28"/>
  </w:num>
  <w:num w:numId="54">
    <w:abstractNumId w:val="53"/>
  </w:num>
  <w:num w:numId="60">
    <w:abstractNumId w:val="59"/>
  </w:num>
  <w:num w:numId="1">
    <w:abstractNumId w:val="0"/>
  </w:num>
  <w:num w:numId="48">
    <w:abstractNumId w:val="47"/>
  </w:num>
  <w:num w:numId="8">
    <w:abstractNumId w:val="7"/>
  </w:num>
  <w:num w:numId="23">
    <w:abstractNumId w:val="22"/>
  </w:num>
  <w:num w:numId="58">
    <w:abstractNumId w:val="57"/>
  </w:num>
  <w:num w:numId="42">
    <w:abstractNumId w:val="41"/>
  </w:num>
  <w:num w:numId="20">
    <w:abstractNumId w:val="19"/>
  </w:num>
  <w:num w:numId="65">
    <w:abstractNumId w:val="64"/>
  </w:num>
  <w:num w:numId="16">
    <w:abstractNumId w:val="15"/>
  </w:num>
  <w:num w:numId="36">
    <w:abstractNumId w:val="35"/>
  </w:num>
  <w:num w:numId="50">
    <w:abstractNumId w:val="49"/>
  </w:num>
  <w:num w:numId="66">
    <w:abstractNumId w:val="65"/>
  </w:num>
  <w:num w:numId="31">
    <w:abstractNumId w:val="30"/>
  </w:num>
  <w:num w:numId="5">
    <w:abstractNumId w:val="4"/>
  </w:num>
  <w:num w:numId="34">
    <w:abstractNumId w:val="33"/>
  </w:num>
  <w:num w:numId="55">
    <w:abstractNumId w:val="54"/>
  </w:num>
  <w:num w:numId="43">
    <w:abstractNumId w:val="42"/>
  </w:num>
  <w:num w:numId="21">
    <w:abstractNumId w:val="20"/>
  </w:num>
  <w:num w:numId="56">
    <w:abstractNumId w:val="55"/>
  </w:num>
  <w:num w:numId="3">
    <w:abstractNumId w:val="2"/>
  </w:num>
  <w:num w:numId="45">
    <w:abstractNumId w:val="44"/>
  </w:num>
  <w:num w:numId="13">
    <w:abstractNumId w:val="12"/>
  </w:num>
  <w:num w:numId="4">
    <w:abstractNumId w:val="3"/>
  </w:num>
  <w:num w:numId="27">
    <w:abstractNumId w:val="26"/>
  </w:num>
  <w:num w:numId="35">
    <w:abstractNumId w:val="34"/>
  </w:num>
  <w:num w:numId="53">
    <w:abstractNumId w:val="52"/>
  </w:num>
  <w:num w:numId="10">
    <w:abstractNumId w:val="9"/>
  </w:num>
  <w:num w:numId="15">
    <w:abstractNumId w:val="14"/>
  </w:num>
  <w:num w:numId="11">
    <w:abstractNumId w:val="10"/>
  </w:num>
  <w:num w:numId="17">
    <w:abstractNumId w:val="16"/>
  </w:num>
  <w:num w:numId="26">
    <w:abstractNumId w:val="25"/>
  </w:num>
  <w:num w:numId="6">
    <w:abstractNumId w:val="5"/>
  </w:num>
  <w:num w:numId="38">
    <w:abstractNumId w:val="37"/>
  </w:num>
  <w:num w:numId="49">
    <w:abstractNumId w:val="48"/>
  </w:num>
  <w:num w:numId="12">
    <w:abstractNumId w:val="11"/>
  </w:num>
  <w:num w:numId="52">
    <w:abstractNumId w:val="51"/>
  </w:num>
  <w:num w:numId="62">
    <w:abstractNumId w:val="61"/>
  </w:num>
  <w:num w:numId="64">
    <w:abstractNumId w:val="63"/>
  </w:num>
  <w:num w:numId="19">
    <w:abstractNumId w:val="18"/>
  </w:num>
  <w:num w:numId="30">
    <w:abstractNumId w:val="29"/>
  </w:num>
  <w:num w:numId="63">
    <w:abstractNumId w:val="62"/>
  </w:num>
  <w:num w:numId="2">
    <w:abstractNumId w:val="1"/>
  </w:num>
  <w:num w:numId="40">
    <w:abstractNumId w:val="39"/>
  </w:num>
  <w:num w:numId="44">
    <w:abstractNumId w:val="43"/>
  </w:num>
  <w:num w:numId="39">
    <w:abstractNumId w:val="38"/>
  </w:num>
  <w:num w:numId="9">
    <w:abstractNumId w:val="8"/>
  </w:num>
  <w:num w:numId="51">
    <w:abstractNumId w:val="50"/>
  </w:num>
  <w:num w:numId="61">
    <w:abstractNumId w:val="60"/>
  </w:num>
  <w:num w:numId="47">
    <w:abstractNumId w:val="46"/>
  </w:num>
  <w:num w:numId="57">
    <w:abstractNumId w:val="56"/>
  </w:num>
  <w:num w:numId="59">
    <w:abstractNumId w:val="58"/>
  </w:num>
  <w:num w:numId="25">
    <w:abstractNumId w:val="24"/>
  </w:num>
  <w:num w:numId="14">
    <w:abstractNumId w:val="13"/>
  </w:num>
  <w:num w:numId="22">
    <w:abstractNumId w:val="21"/>
  </w:num>
  <w:num w:numId="32">
    <w:abstractNumId w:val="31"/>
  </w:num>
  <w:num w:numId="41">
    <w:abstractNumId w:val="40"/>
  </w:num>
  <w:num w:numId="33">
    <w:abstractNumId w:val="32"/>
  </w:num>
  <w:num w:numId="46">
    <w:abstractNumId w:val="45"/>
  </w:num>
  <w:num w:numId="28">
    <w:abstractNumId w:val="27"/>
  </w:num>
  <w:num w:numId="37">
    <w:abstractNumId w:val="36"/>
  </w:num>
  <w:num w:numId="7">
    <w:abstractNumId w:val="6"/>
  </w:num>
  <w:num w:numId="24">
    <w:abstractNumId w:val="23"/>
  </w:num>
  <w:num w:numId="18">
    <w:abstractNumId w:val="17"/>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0" w:styleId="dingding_code">
    <w:name w:val="钉钉文档代码块"/>
    <w:tcPr/>
  </w:style>
  <w:style w:type="paragraph" w:default="1" w:styleId="docDefaults">
    <w:name w:val="dingdocnormal"/>
    <w:tcPr/>
    <w:pPr>
      <w:spacing/>
    </w:pPr>
    <w:rPr>
      <w:sz w:val="24"/>
    </w:rPr>
  </w:style>
  <w:style w:type="character" w:default="0" w:styleId="hyperlink">
    <w:name w:val="Hyperlink"/>
    <w:basedOn w:val="NormalCharacter"/>
    <w:tcPr/>
    <w:rPr>
      <w:color w:val="0563C1"/>
      <w:u w:val="single"/>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hyperlink" Target="https://alidocs.dingtalk.com/h5/d?biz_ver=10&amp;dd_full_screen=true&amp;dd_user_keyboard=false&amp;dentryKey=63VqvVMekcnlvaGE&amp;docId=bEnBVGPZEDMr7nP1&amp;docKey=bEnBVGPZEDMr7nP1&amp;dontjump=true&amp;dt_editor_toolbar=true&amp;from=dingnote&amp;iframeQuery=anchorId%3DX02mv65c7xwz8j0orm96cq&amp;mainsiteOrigin=mainsite&amp;showCommentPanel=false&amp;type=d&amp;utm_medium=im_card&amp;utm_scene=team_space&amp;utm_source=im&amp;workspaceId=nb9XJaN0N7KN3zyA#/preview" TargetMode="External"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