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42BB5">
      <w:pPr>
        <w:spacing w:line="240" w:lineRule="auto"/>
      </w:pPr>
    </w:p>
    <w:p w14:paraId="1E325A98">
      <w:pPr>
        <w:spacing w:line="240" w:lineRule="auto"/>
      </w:pPr>
    </w:p>
    <w:p w14:paraId="398CBDBE">
      <w:pPr>
        <w:spacing w:line="240" w:lineRule="auto"/>
      </w:pPr>
    </w:p>
    <w:p w14:paraId="36B15319">
      <w:pPr>
        <w:jc w:val="center"/>
      </w:pPr>
      <w:r>
        <w:rPr>
          <w:rFonts w:ascii="Arial" w:hAnsi="Arial" w:eastAsia="黑体"/>
          <w:b/>
          <w:i w:val="0"/>
          <w:color w:val="000000"/>
          <w:sz w:val="52"/>
        </w:rPr>
        <w:t>制造智能技术课程设计报告</w:t>
      </w:r>
    </w:p>
    <w:p w14:paraId="2A325DDB">
      <w:pPr>
        <w:spacing w:line="240" w:lineRule="auto"/>
      </w:pPr>
    </w:p>
    <w:p w14:paraId="6B1F0B22">
      <w:pPr>
        <w:spacing w:line="240" w:lineRule="auto"/>
      </w:pPr>
    </w:p>
    <w:p w14:paraId="5B3F2606">
      <w:pPr>
        <w:jc w:val="center"/>
      </w:pPr>
      <w:r>
        <w:rPr>
          <w:rFonts w:ascii="Arial" w:hAnsi="Arial" w:eastAsia="黑体"/>
          <w:b/>
          <w:i w:val="0"/>
          <w:color w:val="000000"/>
          <w:sz w:val="40"/>
        </w:rPr>
        <w:t>工业燃气轮机氮氧化物排放预测</w:t>
      </w:r>
      <w:r>
        <w:rPr>
          <w:rFonts w:ascii="Arial" w:hAnsi="Arial" w:eastAsia="黑体"/>
          <w:b/>
          <w:i w:val="0"/>
          <w:color w:val="000000"/>
          <w:sz w:val="40"/>
        </w:rPr>
        <w:br w:type="textWrapping"/>
      </w:r>
      <w:r>
        <w:rPr>
          <w:rFonts w:ascii="Arial" w:hAnsi="Arial" w:eastAsia="黑体"/>
          <w:b/>
          <w:i w:val="0"/>
          <w:color w:val="000000"/>
          <w:sz w:val="40"/>
        </w:rPr>
        <w:t>与运行参数智能优化系统</w:t>
      </w:r>
    </w:p>
    <w:p w14:paraId="6EAC08D1">
      <w:pPr>
        <w:spacing w:line="240" w:lineRule="auto"/>
      </w:pPr>
    </w:p>
    <w:p w14:paraId="26FC3114">
      <w:pPr>
        <w:spacing w:line="240" w:lineRule="auto"/>
      </w:pPr>
    </w:p>
    <w:p w14:paraId="6FAFFD0D">
      <w:pPr>
        <w:spacing w:line="240" w:lineRule="auto"/>
      </w:pPr>
    </w:p>
    <w:p w14:paraId="67FB54C3">
      <w:pPr>
        <w:spacing w:line="240" w:lineRule="auto"/>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5386"/>
      </w:tblGrid>
      <w:tr w14:paraId="36E59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814" w:type="dxa"/>
            <w:vAlign w:val="center"/>
          </w:tcPr>
          <w:p w14:paraId="1205B817">
            <w:pPr>
              <w:spacing w:before="20" w:after="20" w:line="240" w:lineRule="auto"/>
              <w:jc w:val="center"/>
            </w:pPr>
            <w:r>
              <w:rPr>
                <w:rFonts w:ascii="Times New Roman" w:hAnsi="Times New Roman" w:eastAsia="宋体"/>
                <w:b/>
                <w:i w:val="0"/>
                <w:color w:val="000000"/>
                <w:sz w:val="28"/>
              </w:rPr>
              <w:t>题　　目</w:t>
            </w:r>
          </w:p>
        </w:tc>
        <w:tc>
          <w:tcPr>
            <w:tcW w:w="5386" w:type="dxa"/>
            <w:tcBorders>
              <w:bottom w:val="single" w:color="000000" w:sz="6" w:space="0"/>
            </w:tcBorders>
            <w:vAlign w:val="center"/>
          </w:tcPr>
          <w:p w14:paraId="22302268">
            <w:pPr>
              <w:spacing w:before="20" w:after="20" w:line="240" w:lineRule="auto"/>
              <w:jc w:val="center"/>
            </w:pPr>
            <w:r>
              <w:rPr>
                <w:rFonts w:ascii="Times New Roman" w:hAnsi="Times New Roman" w:eastAsia="宋体"/>
                <w:b w:val="0"/>
                <w:i w:val="0"/>
                <w:color w:val="000000"/>
                <w:sz w:val="28"/>
              </w:rPr>
              <w:t>工业燃气轮机氮氧化物排放预测与运行参数智能优化系统</w:t>
            </w:r>
          </w:p>
        </w:tc>
      </w:tr>
      <w:tr w14:paraId="31044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E2D8730">
            <w:pPr>
              <w:spacing w:before="20" w:after="20" w:line="240" w:lineRule="auto"/>
              <w:jc w:val="center"/>
            </w:pPr>
            <w:r>
              <w:rPr>
                <w:rFonts w:ascii="Times New Roman" w:hAnsi="Times New Roman" w:eastAsia="宋体"/>
                <w:b/>
                <w:i w:val="0"/>
                <w:color w:val="000000"/>
                <w:sz w:val="28"/>
              </w:rPr>
              <w:t>专业班级</w:t>
            </w:r>
          </w:p>
        </w:tc>
        <w:tc>
          <w:tcPr>
            <w:tcW w:w="5386" w:type="dxa"/>
            <w:tcBorders>
              <w:bottom w:val="single" w:color="000000" w:sz="6" w:space="0"/>
            </w:tcBorders>
            <w:vAlign w:val="center"/>
          </w:tcPr>
          <w:p w14:paraId="29D1E288">
            <w:pPr>
              <w:spacing w:before="20" w:after="20" w:line="240" w:lineRule="auto"/>
              <w:jc w:val="center"/>
            </w:pPr>
            <w:r>
              <w:rPr>
                <w:rFonts w:ascii="Times New Roman" w:hAnsi="Times New Roman" w:eastAsia="宋体"/>
                <w:b w:val="0"/>
                <w:i w:val="0"/>
                <w:color w:val="000000"/>
                <w:sz w:val="28"/>
              </w:rPr>
              <w:t>智能制造工程</w:t>
            </w:r>
          </w:p>
        </w:tc>
      </w:tr>
      <w:tr w14:paraId="4A1AB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88DCB85">
            <w:pPr>
              <w:spacing w:before="20" w:after="20" w:line="240" w:lineRule="auto"/>
              <w:jc w:val="center"/>
            </w:pPr>
            <w:r>
              <w:rPr>
                <w:rFonts w:ascii="Times New Roman" w:hAnsi="Times New Roman" w:eastAsia="宋体"/>
                <w:b/>
                <w:i w:val="0"/>
                <w:color w:val="000000"/>
                <w:sz w:val="28"/>
              </w:rPr>
              <w:t>学　　号</w:t>
            </w:r>
          </w:p>
        </w:tc>
        <w:tc>
          <w:tcPr>
            <w:tcW w:w="5386" w:type="dxa"/>
            <w:tcBorders>
              <w:bottom w:val="single" w:color="000000" w:sz="6" w:space="0"/>
            </w:tcBorders>
            <w:vAlign w:val="center"/>
          </w:tcPr>
          <w:p w14:paraId="705D720B">
            <w:pPr>
              <w:spacing w:before="20" w:after="20" w:line="240" w:lineRule="auto"/>
              <w:jc w:val="center"/>
              <w:rPr>
                <w:rFonts w:hint="default" w:eastAsia="宋体"/>
                <w:lang w:val="en-US" w:eastAsia="zh-CN"/>
              </w:rPr>
            </w:pPr>
            <w:r>
              <w:rPr>
                <w:rFonts w:hint="eastAsia"/>
                <w:lang w:val="en-US" w:eastAsia="zh-CN"/>
              </w:rPr>
              <w:t>202412020114</w:t>
            </w:r>
          </w:p>
        </w:tc>
      </w:tr>
      <w:tr w14:paraId="62776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16539349">
            <w:pPr>
              <w:spacing w:before="20" w:after="20" w:line="240" w:lineRule="auto"/>
              <w:jc w:val="center"/>
            </w:pPr>
            <w:r>
              <w:rPr>
                <w:rFonts w:ascii="Times New Roman" w:hAnsi="Times New Roman" w:eastAsia="宋体"/>
                <w:b/>
                <w:i w:val="0"/>
                <w:color w:val="000000"/>
                <w:sz w:val="28"/>
              </w:rPr>
              <w:t>姓　　名</w:t>
            </w:r>
          </w:p>
        </w:tc>
        <w:tc>
          <w:tcPr>
            <w:tcW w:w="5386" w:type="dxa"/>
            <w:tcBorders>
              <w:bottom w:val="single" w:color="000000" w:sz="6" w:space="0"/>
            </w:tcBorders>
            <w:vAlign w:val="center"/>
          </w:tcPr>
          <w:p w14:paraId="534EE52F">
            <w:pPr>
              <w:spacing w:before="20" w:after="20" w:line="240" w:lineRule="auto"/>
              <w:jc w:val="center"/>
              <w:rPr>
                <w:rFonts w:hint="eastAsia" w:eastAsia="宋体"/>
                <w:lang w:val="en-US" w:eastAsia="zh-CN"/>
              </w:rPr>
            </w:pPr>
            <w:r>
              <w:rPr>
                <w:rFonts w:hint="eastAsia"/>
                <w:lang w:val="en-US" w:eastAsia="zh-CN"/>
              </w:rPr>
              <w:t>牛铭辰</w:t>
            </w:r>
          </w:p>
        </w:tc>
      </w:tr>
      <w:tr w14:paraId="11CEE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6807CF76">
            <w:pPr>
              <w:spacing w:before="20" w:after="20" w:line="240" w:lineRule="auto"/>
              <w:jc w:val="center"/>
            </w:pPr>
            <w:bookmarkStart w:id="44" w:name="_GoBack"/>
            <w:bookmarkEnd w:id="44"/>
            <w:r>
              <w:rPr>
                <w:rFonts w:ascii="Times New Roman" w:hAnsi="Times New Roman" w:eastAsia="宋体"/>
                <w:b/>
                <w:i w:val="0"/>
                <w:color w:val="000000"/>
                <w:sz w:val="28"/>
              </w:rPr>
              <w:t>完成日期</w:t>
            </w:r>
          </w:p>
        </w:tc>
        <w:tc>
          <w:tcPr>
            <w:tcW w:w="5386" w:type="dxa"/>
            <w:tcBorders>
              <w:bottom w:val="single" w:color="000000" w:sz="6" w:space="0"/>
            </w:tcBorders>
            <w:vAlign w:val="center"/>
          </w:tcPr>
          <w:p w14:paraId="30C56155">
            <w:pPr>
              <w:spacing w:before="20" w:after="20" w:line="240" w:lineRule="auto"/>
              <w:jc w:val="center"/>
            </w:pPr>
            <w:r>
              <w:rPr>
                <w:rFonts w:ascii="Times New Roman" w:hAnsi="Times New Roman" w:eastAsia="宋体"/>
                <w:b w:val="0"/>
                <w:i w:val="0"/>
                <w:color w:val="000000"/>
                <w:sz w:val="28"/>
              </w:rPr>
              <w:t>2026 年 9 月</w:t>
            </w:r>
          </w:p>
        </w:tc>
      </w:tr>
    </w:tbl>
    <w:p w14:paraId="68BC3B0F">
      <w:pPr>
        <w:sectPr>
          <w:pgSz w:w="11906" w:h="16838"/>
          <w:pgMar w:top="1417" w:right="1417" w:bottom="1417" w:left="1417" w:header="720" w:footer="720" w:gutter="0"/>
          <w:cols w:space="720" w:num="1"/>
          <w:docGrid w:linePitch="360" w:charSpace="0"/>
        </w:sectPr>
      </w:pPr>
    </w:p>
    <w:p w14:paraId="78241E2E">
      <w:pPr>
        <w:spacing w:after="200"/>
        <w:jc w:val="center"/>
      </w:pPr>
      <w:r>
        <w:rPr>
          <w:rFonts w:ascii="Arial" w:hAnsi="Arial" w:eastAsia="黑体"/>
          <w:b/>
          <w:i w:val="0"/>
          <w:color w:val="000000"/>
          <w:sz w:val="32"/>
        </w:rPr>
        <w:t>摘　要</w:t>
      </w:r>
    </w:p>
    <w:p w14:paraId="6065894F">
      <w:pPr>
        <w:spacing w:before="0" w:after="0" w:line="360" w:lineRule="auto"/>
        <w:ind w:firstLine="480" w:firstLineChars="200"/>
        <w:jc w:val="both"/>
      </w:pPr>
      <w:r>
        <w:rPr>
          <w:rFonts w:ascii="Times New Roman" w:hAnsi="Times New Roman" w:eastAsia="宋体"/>
          <w:b w:val="0"/>
          <w:i w:val="0"/>
          <w:color w:val="000000"/>
          <w:sz w:val="24"/>
        </w:rPr>
        <w:t>针对工业燃气轮机运行调参依赖人工经验、污染物排放控制滞后、工况优化效率低的问题，本课程设计综合运用制造智能技术与 vibe coding 开发方法，构建了一套基于 B/S 四层架构的“工业燃气轮机氮氧化物排放预测与运行参数智能优化系统”。系统覆盖监督学习、智能优化、无监督异常检测三个课程核心技术方向：采用 XGBoost 梯度提升回归模型，以两阶段预测链由 8 项运行参数预测机组能量产出 TEY，并进一步预测 CO、NOx 排放浓度与排放等级；采用自实现的粒子群优化算法（PSO），以排放达标为约束、最大化能量产出为目标自动寻优运行参数；采用孤立森林算法构建正常工况基准，实现工况异常的早期预警与分级。</w:t>
      </w:r>
    </w:p>
    <w:p w14:paraId="724AB21C">
      <w:pPr>
        <w:spacing w:before="0" w:after="0" w:line="360" w:lineRule="auto"/>
        <w:ind w:firstLine="480" w:firstLineChars="200"/>
        <w:jc w:val="both"/>
      </w:pPr>
      <w:r>
        <w:rPr>
          <w:rFonts w:ascii="Times New Roman" w:hAnsi="Times New Roman" w:eastAsia="宋体"/>
          <w:b w:val="0"/>
          <w:i w:val="0"/>
          <w:color w:val="000000"/>
          <w:sz w:val="24"/>
        </w:rPr>
        <w:t>系统后端基于 Python Flask 实现，采用工厂模式与分层架构，提供 9 个 RESTful 接口，并设计了 MySQL 优先、连接失败自动降级 SQLite 的数据库访问层，包含设备基础信息、运行与优化记录、异常监测日志三张数据表；前端基于 Vue3、Element Plus 与 ECharts 实现运行总览、排放预测、参数优化、异常监测四个业务页面，形成“参数输入—排放预测—参数优化—异常预警—结果展示—存档追溯”的完整业务闭环。数据来源于 UCI 机器学习仓库公开的燃气轮机 CO 与 NOx 排放数据集，共 36733 条小时级样本，经清洗去重、按年份划分与标准化后用于建模。部署模型在随机留出集上 TEY、CO、NOx 的决定系数 R² 分别达到 0.9986、0.7942、0.8634；系统自带 11 项 pytest 自动化测试全部通过，并经前后端联调与浏览器实测验证。报告还如实披露了开发过程中发现的 NOx 跨年数据漂移问题及处理方式、AI 工具使用情况、关键提示词策略与典型出错纠正过程。</w:t>
      </w:r>
    </w:p>
    <w:p w14:paraId="70B0F604">
      <w:pPr>
        <w:spacing w:before="120" w:line="360" w:lineRule="auto"/>
      </w:pPr>
      <w:r>
        <w:rPr>
          <w:rFonts w:ascii="Times New Roman" w:hAnsi="Times New Roman" w:eastAsia="黑体"/>
          <w:b/>
          <w:i w:val="0"/>
          <w:color w:val="000000"/>
          <w:sz w:val="24"/>
        </w:rPr>
        <w:t>关键词：</w:t>
      </w:r>
      <w:r>
        <w:rPr>
          <w:rFonts w:ascii="Times New Roman" w:hAnsi="Times New Roman" w:eastAsia="宋体"/>
          <w:b w:val="0"/>
          <w:i w:val="0"/>
          <w:color w:val="000000"/>
          <w:sz w:val="24"/>
        </w:rPr>
        <w:t>燃气轮机；氮氧化物排放预测；XGBoost；粒子群优化；孤立森林；B/S 架构</w:t>
      </w:r>
    </w:p>
    <w:p w14:paraId="1DBB5F2B">
      <w:r>
        <w:br w:type="page"/>
      </w:r>
    </w:p>
    <w:p w14:paraId="2DA67961">
      <w:pPr>
        <w:jc w:val="center"/>
      </w:pPr>
      <w:r>
        <w:rPr>
          <w:rFonts w:ascii="Arial" w:hAnsi="Arial" w:eastAsia="黑体"/>
          <w:b/>
          <w:i w:val="0"/>
          <w:color w:val="000000"/>
          <w:sz w:val="32"/>
        </w:rPr>
        <w:t>目　录</w:t>
      </w:r>
    </w:p>
    <w:p w14:paraId="78392C4C">
      <w:pPr>
        <w:pStyle w:val="26"/>
        <w:tabs>
          <w:tab w:val="right" w:leader="dot" w:pos="9072"/>
        </w:tabs>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TOC \o "1-2" \h \z \u</w:instrText>
      </w:r>
      <w:r>
        <w:rPr>
          <w:rFonts w:ascii="Times New Roman" w:hAnsi="Times New Roman" w:eastAsia="宋体"/>
          <w:b w:val="0"/>
          <w:i w:val="0"/>
          <w:color w:val="000000"/>
          <w:sz w:val="21"/>
        </w:rPr>
        <w:fldChar w:fldCharType="separate"/>
      </w:r>
      <w:r>
        <w:rPr>
          <w:rFonts w:ascii="Times New Roman" w:hAnsi="Times New Roman" w:eastAsia="宋体"/>
          <w:i w:val="0"/>
          <w:color w:val="000000"/>
        </w:rPr>
        <w:fldChar w:fldCharType="begin"/>
      </w:r>
      <w:r>
        <w:rPr>
          <w:rFonts w:ascii="Times New Roman" w:hAnsi="Times New Roman" w:eastAsia="宋体"/>
          <w:i w:val="0"/>
        </w:rPr>
        <w:instrText xml:space="preserve"> HYPERLINK \l _Toc7311 </w:instrText>
      </w:r>
      <w:r>
        <w:rPr>
          <w:rFonts w:ascii="Times New Roman" w:hAnsi="Times New Roman" w:eastAsia="宋体"/>
          <w:i w:val="0"/>
        </w:rPr>
        <w:fldChar w:fldCharType="separate"/>
      </w:r>
      <w:r>
        <w:rPr>
          <w:rFonts w:ascii="Arial" w:hAnsi="Arial" w:eastAsia="黑体"/>
          <w:i w:val="0"/>
        </w:rPr>
        <w:t>第1章　绪论</w:t>
      </w:r>
      <w:r>
        <w:tab/>
      </w:r>
      <w:r>
        <w:fldChar w:fldCharType="begin"/>
      </w:r>
      <w:r>
        <w:instrText xml:space="preserve"> PAGEREF _Toc7311 \h </w:instrText>
      </w:r>
      <w:r>
        <w:fldChar w:fldCharType="separate"/>
      </w:r>
      <w:r>
        <w:t>1</w:t>
      </w:r>
      <w:r>
        <w:fldChar w:fldCharType="end"/>
      </w:r>
      <w:r>
        <w:rPr>
          <w:rFonts w:ascii="Times New Roman" w:hAnsi="Times New Roman" w:eastAsia="宋体"/>
          <w:i w:val="0"/>
          <w:color w:val="000000"/>
        </w:rPr>
        <w:fldChar w:fldCharType="end"/>
      </w:r>
    </w:p>
    <w:p w14:paraId="53BAB00A">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_Toc20566 </w:instrText>
      </w:r>
      <w:r>
        <w:rPr>
          <w:rFonts w:ascii="Times New Roman" w:hAnsi="Times New Roman" w:eastAsia="宋体"/>
          <w:i w:val="0"/>
        </w:rPr>
        <w:fldChar w:fldCharType="separate"/>
      </w:r>
      <w:r>
        <w:rPr>
          <w:rFonts w:ascii="Arial" w:hAnsi="Arial" w:eastAsia="黑体"/>
          <w:i w:val="0"/>
        </w:rPr>
        <w:t>1.1　研究背景</w:t>
      </w:r>
      <w:r>
        <w:tab/>
      </w:r>
      <w:r>
        <w:fldChar w:fldCharType="begin"/>
      </w:r>
      <w:r>
        <w:instrText xml:space="preserve"> PAGEREF _Toc20566 \h </w:instrText>
      </w:r>
      <w:r>
        <w:fldChar w:fldCharType="separate"/>
      </w:r>
      <w:r>
        <w:t>1</w:t>
      </w:r>
      <w:r>
        <w:fldChar w:fldCharType="end"/>
      </w:r>
      <w:r>
        <w:rPr>
          <w:rFonts w:ascii="Times New Roman" w:hAnsi="Times New Roman" w:eastAsia="宋体"/>
          <w:i w:val="0"/>
          <w:color w:val="000000"/>
        </w:rPr>
        <w:fldChar w:fldCharType="end"/>
      </w:r>
    </w:p>
    <w:p w14:paraId="6B2447BF">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_Toc7305 </w:instrText>
      </w:r>
      <w:r>
        <w:rPr>
          <w:rFonts w:ascii="Times New Roman" w:hAnsi="Times New Roman" w:eastAsia="宋体"/>
          <w:i w:val="0"/>
        </w:rPr>
        <w:fldChar w:fldCharType="separate"/>
      </w:r>
      <w:r>
        <w:rPr>
          <w:rFonts w:ascii="Arial" w:hAnsi="Arial" w:eastAsia="黑体"/>
          <w:i w:val="0"/>
        </w:rPr>
        <w:t>1.2　研究意义</w:t>
      </w:r>
      <w:r>
        <w:tab/>
      </w:r>
      <w:r>
        <w:fldChar w:fldCharType="begin"/>
      </w:r>
      <w:r>
        <w:instrText xml:space="preserve"> PAGEREF _Toc7305 \h </w:instrText>
      </w:r>
      <w:r>
        <w:fldChar w:fldCharType="separate"/>
      </w:r>
      <w:r>
        <w:t>1</w:t>
      </w:r>
      <w:r>
        <w:fldChar w:fldCharType="end"/>
      </w:r>
      <w:r>
        <w:rPr>
          <w:rFonts w:ascii="Times New Roman" w:hAnsi="Times New Roman" w:eastAsia="宋体"/>
          <w:i w:val="0"/>
          <w:color w:val="000000"/>
        </w:rPr>
        <w:fldChar w:fldCharType="end"/>
      </w:r>
    </w:p>
    <w:p w14:paraId="7AB25EE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_Toc10565 </w:instrText>
      </w:r>
      <w:r>
        <w:rPr>
          <w:rFonts w:ascii="Times New Roman" w:hAnsi="Times New Roman" w:eastAsia="宋体"/>
          <w:i w:val="0"/>
        </w:rPr>
        <w:fldChar w:fldCharType="separate"/>
      </w:r>
      <w:r>
        <w:rPr>
          <w:rFonts w:ascii="Arial" w:hAnsi="Arial" w:eastAsia="黑体"/>
          <w:i w:val="0"/>
        </w:rPr>
        <w:t>1.3　相关技术现状</w:t>
      </w:r>
      <w:r>
        <w:tab/>
      </w:r>
      <w:r>
        <w:fldChar w:fldCharType="begin"/>
      </w:r>
      <w:r>
        <w:instrText xml:space="preserve"> PAGEREF _Toc10565 \h </w:instrText>
      </w:r>
      <w:r>
        <w:fldChar w:fldCharType="separate"/>
      </w:r>
      <w:r>
        <w:t>2</w:t>
      </w:r>
      <w:r>
        <w:fldChar w:fldCharType="end"/>
      </w:r>
      <w:r>
        <w:rPr>
          <w:rFonts w:ascii="Times New Roman" w:hAnsi="Times New Roman" w:eastAsia="宋体"/>
          <w:i w:val="0"/>
          <w:color w:val="000000"/>
        </w:rPr>
        <w:fldChar w:fldCharType="end"/>
      </w:r>
    </w:p>
    <w:p w14:paraId="5634CAC9">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_Toc30533 </w:instrText>
      </w:r>
      <w:r>
        <w:rPr>
          <w:rFonts w:ascii="Times New Roman" w:hAnsi="Times New Roman" w:eastAsia="宋体"/>
          <w:i w:val="0"/>
        </w:rPr>
        <w:fldChar w:fldCharType="separate"/>
      </w:r>
      <w:r>
        <w:rPr>
          <w:rFonts w:ascii="Arial" w:hAnsi="Arial" w:eastAsia="黑体"/>
          <w:i w:val="0"/>
        </w:rPr>
        <w:t>1.4　设计目标与技术方向</w:t>
      </w:r>
      <w:r>
        <w:tab/>
      </w:r>
      <w:r>
        <w:fldChar w:fldCharType="begin"/>
      </w:r>
      <w:r>
        <w:instrText xml:space="preserve"> PAGEREF _Toc30533 \h </w:instrText>
      </w:r>
      <w:r>
        <w:fldChar w:fldCharType="separate"/>
      </w:r>
      <w:r>
        <w:t>2</w:t>
      </w:r>
      <w:r>
        <w:fldChar w:fldCharType="end"/>
      </w:r>
      <w:r>
        <w:rPr>
          <w:rFonts w:ascii="Times New Roman" w:hAnsi="Times New Roman" w:eastAsia="宋体"/>
          <w:i w:val="0"/>
          <w:color w:val="000000"/>
        </w:rPr>
        <w:fldChar w:fldCharType="end"/>
      </w:r>
    </w:p>
    <w:p w14:paraId="1A713FB9">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_Toc6173 </w:instrText>
      </w:r>
      <w:r>
        <w:rPr>
          <w:rFonts w:ascii="Times New Roman" w:hAnsi="Times New Roman" w:eastAsia="宋体"/>
          <w:i w:val="0"/>
        </w:rPr>
        <w:fldChar w:fldCharType="separate"/>
      </w:r>
      <w:r>
        <w:rPr>
          <w:rFonts w:ascii="Arial" w:hAnsi="Arial" w:eastAsia="黑体"/>
          <w:i w:val="0"/>
        </w:rPr>
        <w:t>1.5　报告组织结构</w:t>
      </w:r>
      <w:r>
        <w:tab/>
      </w:r>
      <w:r>
        <w:fldChar w:fldCharType="begin"/>
      </w:r>
      <w:r>
        <w:instrText xml:space="preserve"> PAGEREF _Toc6173 \h </w:instrText>
      </w:r>
      <w:r>
        <w:fldChar w:fldCharType="separate"/>
      </w:r>
      <w:r>
        <w:t>2</w:t>
      </w:r>
      <w:r>
        <w:fldChar w:fldCharType="end"/>
      </w:r>
      <w:r>
        <w:rPr>
          <w:rFonts w:ascii="Times New Roman" w:hAnsi="Times New Roman" w:eastAsia="宋体"/>
          <w:i w:val="0"/>
          <w:color w:val="000000"/>
        </w:rPr>
        <w:fldChar w:fldCharType="end"/>
      </w:r>
    </w:p>
    <w:p w14:paraId="176D8A6F">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_Toc7873 </w:instrText>
      </w:r>
      <w:r>
        <w:rPr>
          <w:rFonts w:ascii="Times New Roman" w:hAnsi="Times New Roman" w:eastAsia="宋体"/>
          <w:i w:val="0"/>
        </w:rPr>
        <w:fldChar w:fldCharType="separate"/>
      </w:r>
      <w:r>
        <w:rPr>
          <w:rFonts w:ascii="Arial" w:hAnsi="Arial" w:eastAsia="黑体"/>
          <w:i w:val="0"/>
        </w:rPr>
        <w:t>第2章　系统方案设计</w:t>
      </w:r>
      <w:r>
        <w:tab/>
      </w:r>
      <w:r>
        <w:fldChar w:fldCharType="begin"/>
      </w:r>
      <w:r>
        <w:instrText xml:space="preserve"> PAGEREF _Toc7873 \h </w:instrText>
      </w:r>
      <w:r>
        <w:fldChar w:fldCharType="separate"/>
      </w:r>
      <w:r>
        <w:t>4</w:t>
      </w:r>
      <w:r>
        <w:fldChar w:fldCharType="end"/>
      </w:r>
      <w:r>
        <w:rPr>
          <w:rFonts w:ascii="Times New Roman" w:hAnsi="Times New Roman" w:eastAsia="宋体"/>
          <w:i w:val="0"/>
          <w:color w:val="000000"/>
        </w:rPr>
        <w:fldChar w:fldCharType="end"/>
      </w:r>
    </w:p>
    <w:p w14:paraId="06CBCF1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_Toc29249 </w:instrText>
      </w:r>
      <w:r>
        <w:rPr>
          <w:rFonts w:ascii="Times New Roman" w:hAnsi="Times New Roman" w:eastAsia="宋体"/>
          <w:i w:val="0"/>
        </w:rPr>
        <w:fldChar w:fldCharType="separate"/>
      </w:r>
      <w:r>
        <w:rPr>
          <w:rFonts w:ascii="Arial" w:hAnsi="Arial" w:eastAsia="黑体"/>
          <w:i w:val="0"/>
        </w:rPr>
        <w:t>2.1　需求分析</w:t>
      </w:r>
      <w:r>
        <w:tab/>
      </w:r>
      <w:r>
        <w:fldChar w:fldCharType="begin"/>
      </w:r>
      <w:r>
        <w:instrText xml:space="preserve"> PAGEREF _Toc29249 \h </w:instrText>
      </w:r>
      <w:r>
        <w:fldChar w:fldCharType="separate"/>
      </w:r>
      <w:r>
        <w:t>4</w:t>
      </w:r>
      <w:r>
        <w:fldChar w:fldCharType="end"/>
      </w:r>
      <w:r>
        <w:rPr>
          <w:rFonts w:ascii="Times New Roman" w:hAnsi="Times New Roman" w:eastAsia="宋体"/>
          <w:i w:val="0"/>
          <w:color w:val="000000"/>
        </w:rPr>
        <w:fldChar w:fldCharType="end"/>
      </w:r>
    </w:p>
    <w:p w14:paraId="02D94F7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_Toc6316 </w:instrText>
      </w:r>
      <w:r>
        <w:rPr>
          <w:rFonts w:ascii="Times New Roman" w:hAnsi="Times New Roman" w:eastAsia="宋体"/>
          <w:i w:val="0"/>
        </w:rPr>
        <w:fldChar w:fldCharType="separate"/>
      </w:r>
      <w:r>
        <w:rPr>
          <w:rFonts w:ascii="Arial" w:hAnsi="Arial" w:eastAsia="黑体"/>
          <w:i w:val="0"/>
        </w:rPr>
        <w:t>2.2　总体架构设计</w:t>
      </w:r>
      <w:r>
        <w:tab/>
      </w:r>
      <w:r>
        <w:fldChar w:fldCharType="begin"/>
      </w:r>
      <w:r>
        <w:instrText xml:space="preserve"> PAGEREF _Toc6316 \h </w:instrText>
      </w:r>
      <w:r>
        <w:fldChar w:fldCharType="separate"/>
      </w:r>
      <w:r>
        <w:t>4</w:t>
      </w:r>
      <w:r>
        <w:fldChar w:fldCharType="end"/>
      </w:r>
      <w:r>
        <w:rPr>
          <w:rFonts w:ascii="Times New Roman" w:hAnsi="Times New Roman" w:eastAsia="宋体"/>
          <w:i w:val="0"/>
          <w:color w:val="000000"/>
        </w:rPr>
        <w:fldChar w:fldCharType="end"/>
      </w:r>
    </w:p>
    <w:p w14:paraId="1560EC24">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_Toc32023 </w:instrText>
      </w:r>
      <w:r>
        <w:rPr>
          <w:rFonts w:ascii="Times New Roman" w:hAnsi="Times New Roman" w:eastAsia="宋体"/>
          <w:i w:val="0"/>
        </w:rPr>
        <w:fldChar w:fldCharType="separate"/>
      </w:r>
      <w:r>
        <w:rPr>
          <w:rFonts w:ascii="Arial" w:hAnsi="Arial" w:eastAsia="黑体"/>
          <w:i w:val="0"/>
        </w:rPr>
        <w:t>2.3　技术栈选型</w:t>
      </w:r>
      <w:r>
        <w:tab/>
      </w:r>
      <w:r>
        <w:fldChar w:fldCharType="begin"/>
      </w:r>
      <w:r>
        <w:instrText xml:space="preserve"> PAGEREF _Toc32023 \h </w:instrText>
      </w:r>
      <w:r>
        <w:fldChar w:fldCharType="separate"/>
      </w:r>
      <w:r>
        <w:t>4</w:t>
      </w:r>
      <w:r>
        <w:fldChar w:fldCharType="end"/>
      </w:r>
      <w:r>
        <w:rPr>
          <w:rFonts w:ascii="Times New Roman" w:hAnsi="Times New Roman" w:eastAsia="宋体"/>
          <w:i w:val="0"/>
          <w:color w:val="000000"/>
        </w:rPr>
        <w:fldChar w:fldCharType="end"/>
      </w:r>
    </w:p>
    <w:p w14:paraId="716A1409">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_Toc22914 </w:instrText>
      </w:r>
      <w:r>
        <w:rPr>
          <w:rFonts w:ascii="Times New Roman" w:hAnsi="Times New Roman" w:eastAsia="宋体"/>
          <w:i w:val="0"/>
        </w:rPr>
        <w:fldChar w:fldCharType="separate"/>
      </w:r>
      <w:r>
        <w:rPr>
          <w:rFonts w:ascii="Arial" w:hAnsi="Arial" w:eastAsia="黑体"/>
          <w:i w:val="0"/>
        </w:rPr>
        <w:t>2.4　功能模块设计</w:t>
      </w:r>
      <w:r>
        <w:tab/>
      </w:r>
      <w:r>
        <w:fldChar w:fldCharType="begin"/>
      </w:r>
      <w:r>
        <w:instrText xml:space="preserve"> PAGEREF _Toc22914 \h </w:instrText>
      </w:r>
      <w:r>
        <w:fldChar w:fldCharType="separate"/>
      </w:r>
      <w:r>
        <w:t>5</w:t>
      </w:r>
      <w:r>
        <w:fldChar w:fldCharType="end"/>
      </w:r>
      <w:r>
        <w:rPr>
          <w:rFonts w:ascii="Times New Roman" w:hAnsi="Times New Roman" w:eastAsia="宋体"/>
          <w:i w:val="0"/>
          <w:color w:val="000000"/>
        </w:rPr>
        <w:fldChar w:fldCharType="end"/>
      </w:r>
    </w:p>
    <w:p w14:paraId="7A9A69BB">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_Toc13617 </w:instrText>
      </w:r>
      <w:r>
        <w:rPr>
          <w:rFonts w:ascii="Times New Roman" w:hAnsi="Times New Roman" w:eastAsia="宋体"/>
          <w:i w:val="0"/>
        </w:rPr>
        <w:fldChar w:fldCharType="separate"/>
      </w:r>
      <w:r>
        <w:rPr>
          <w:rFonts w:ascii="Arial" w:hAnsi="Arial" w:eastAsia="黑体"/>
          <w:i w:val="0"/>
        </w:rPr>
        <w:t>2.5　数据库设计</w:t>
      </w:r>
      <w:r>
        <w:tab/>
      </w:r>
      <w:r>
        <w:fldChar w:fldCharType="begin"/>
      </w:r>
      <w:r>
        <w:instrText xml:space="preserve"> PAGEREF _Toc13617 \h </w:instrText>
      </w:r>
      <w:r>
        <w:fldChar w:fldCharType="separate"/>
      </w:r>
      <w:r>
        <w:t>5</w:t>
      </w:r>
      <w:r>
        <w:fldChar w:fldCharType="end"/>
      </w:r>
      <w:r>
        <w:rPr>
          <w:rFonts w:ascii="Times New Roman" w:hAnsi="Times New Roman" w:eastAsia="宋体"/>
          <w:i w:val="0"/>
          <w:color w:val="000000"/>
        </w:rPr>
        <w:fldChar w:fldCharType="end"/>
      </w:r>
    </w:p>
    <w:p w14:paraId="37274B9C">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_Toc25989 </w:instrText>
      </w:r>
      <w:r>
        <w:rPr>
          <w:rFonts w:ascii="Times New Roman" w:hAnsi="Times New Roman" w:eastAsia="宋体"/>
          <w:i w:val="0"/>
        </w:rPr>
        <w:fldChar w:fldCharType="separate"/>
      </w:r>
      <w:r>
        <w:rPr>
          <w:rFonts w:ascii="Arial" w:hAnsi="Arial" w:eastAsia="黑体"/>
          <w:i w:val="0"/>
        </w:rPr>
        <w:t>2.6　技术路线</w:t>
      </w:r>
      <w:r>
        <w:tab/>
      </w:r>
      <w:r>
        <w:fldChar w:fldCharType="begin"/>
      </w:r>
      <w:r>
        <w:instrText xml:space="preserve"> PAGEREF _Toc25989 \h </w:instrText>
      </w:r>
      <w:r>
        <w:fldChar w:fldCharType="separate"/>
      </w:r>
      <w:r>
        <w:t>6</w:t>
      </w:r>
      <w:r>
        <w:fldChar w:fldCharType="end"/>
      </w:r>
      <w:r>
        <w:rPr>
          <w:rFonts w:ascii="Times New Roman" w:hAnsi="Times New Roman" w:eastAsia="宋体"/>
          <w:i w:val="0"/>
          <w:color w:val="000000"/>
        </w:rPr>
        <w:fldChar w:fldCharType="end"/>
      </w:r>
    </w:p>
    <w:p w14:paraId="3F5B2252">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_Toc2006 </w:instrText>
      </w:r>
      <w:r>
        <w:rPr>
          <w:rFonts w:ascii="Times New Roman" w:hAnsi="Times New Roman" w:eastAsia="宋体"/>
          <w:i w:val="0"/>
        </w:rPr>
        <w:fldChar w:fldCharType="separate"/>
      </w:r>
      <w:r>
        <w:rPr>
          <w:rFonts w:ascii="Arial" w:hAnsi="Arial" w:eastAsia="黑体"/>
          <w:i w:val="0"/>
        </w:rPr>
        <w:t>第3章　数据资源构建</w:t>
      </w:r>
      <w:r>
        <w:tab/>
      </w:r>
      <w:r>
        <w:fldChar w:fldCharType="begin"/>
      </w:r>
      <w:r>
        <w:instrText xml:space="preserve"> PAGEREF _Toc2006 \h </w:instrText>
      </w:r>
      <w:r>
        <w:fldChar w:fldCharType="separate"/>
      </w:r>
      <w:r>
        <w:t>7</w:t>
      </w:r>
      <w:r>
        <w:fldChar w:fldCharType="end"/>
      </w:r>
      <w:r>
        <w:rPr>
          <w:rFonts w:ascii="Times New Roman" w:hAnsi="Times New Roman" w:eastAsia="宋体"/>
          <w:i w:val="0"/>
          <w:color w:val="000000"/>
        </w:rPr>
        <w:fldChar w:fldCharType="end"/>
      </w:r>
    </w:p>
    <w:p w14:paraId="7053381F">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_Toc20136 </w:instrText>
      </w:r>
      <w:r>
        <w:rPr>
          <w:rFonts w:ascii="Times New Roman" w:hAnsi="Times New Roman" w:eastAsia="宋体"/>
          <w:i w:val="0"/>
        </w:rPr>
        <w:fldChar w:fldCharType="separate"/>
      </w:r>
      <w:r>
        <w:rPr>
          <w:rFonts w:ascii="Arial" w:hAnsi="Arial" w:eastAsia="黑体"/>
          <w:i w:val="0"/>
        </w:rPr>
        <w:t>3.1　数据集来源</w:t>
      </w:r>
      <w:r>
        <w:tab/>
      </w:r>
      <w:r>
        <w:fldChar w:fldCharType="begin"/>
      </w:r>
      <w:r>
        <w:instrText xml:space="preserve"> PAGEREF _Toc20136 \h </w:instrText>
      </w:r>
      <w:r>
        <w:fldChar w:fldCharType="separate"/>
      </w:r>
      <w:r>
        <w:t>7</w:t>
      </w:r>
      <w:r>
        <w:fldChar w:fldCharType="end"/>
      </w:r>
      <w:r>
        <w:rPr>
          <w:rFonts w:ascii="Times New Roman" w:hAnsi="Times New Roman" w:eastAsia="宋体"/>
          <w:i w:val="0"/>
          <w:color w:val="000000"/>
        </w:rPr>
        <w:fldChar w:fldCharType="end"/>
      </w:r>
    </w:p>
    <w:p w14:paraId="6C21B0FB">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_Toc22995 </w:instrText>
      </w:r>
      <w:r>
        <w:rPr>
          <w:rFonts w:ascii="Times New Roman" w:hAnsi="Times New Roman" w:eastAsia="宋体"/>
          <w:i w:val="0"/>
        </w:rPr>
        <w:fldChar w:fldCharType="separate"/>
      </w:r>
      <w:r>
        <w:rPr>
          <w:rFonts w:ascii="Arial" w:hAnsi="Arial" w:eastAsia="黑体"/>
          <w:i w:val="0"/>
        </w:rPr>
        <w:t>3.2　数据字段构成</w:t>
      </w:r>
      <w:r>
        <w:tab/>
      </w:r>
      <w:r>
        <w:fldChar w:fldCharType="begin"/>
      </w:r>
      <w:r>
        <w:instrText xml:space="preserve"> PAGEREF _Toc22995 \h </w:instrText>
      </w:r>
      <w:r>
        <w:fldChar w:fldCharType="separate"/>
      </w:r>
      <w:r>
        <w:t>7</w:t>
      </w:r>
      <w:r>
        <w:fldChar w:fldCharType="end"/>
      </w:r>
      <w:r>
        <w:rPr>
          <w:rFonts w:ascii="Times New Roman" w:hAnsi="Times New Roman" w:eastAsia="宋体"/>
          <w:i w:val="0"/>
          <w:color w:val="000000"/>
        </w:rPr>
        <w:fldChar w:fldCharType="end"/>
      </w:r>
    </w:p>
    <w:p w14:paraId="08676720">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_Toc7842 </w:instrText>
      </w:r>
      <w:r>
        <w:rPr>
          <w:rFonts w:ascii="Times New Roman" w:hAnsi="Times New Roman" w:eastAsia="宋体"/>
          <w:i w:val="0"/>
        </w:rPr>
        <w:fldChar w:fldCharType="separate"/>
      </w:r>
      <w:r>
        <w:rPr>
          <w:rFonts w:ascii="Arial" w:hAnsi="Arial" w:eastAsia="黑体"/>
          <w:i w:val="0"/>
        </w:rPr>
        <w:t>3.3　数据预处理流程</w:t>
      </w:r>
      <w:r>
        <w:tab/>
      </w:r>
      <w:r>
        <w:fldChar w:fldCharType="begin"/>
      </w:r>
      <w:r>
        <w:instrText xml:space="preserve"> PAGEREF _Toc7842 \h </w:instrText>
      </w:r>
      <w:r>
        <w:fldChar w:fldCharType="separate"/>
      </w:r>
      <w:r>
        <w:t>8</w:t>
      </w:r>
      <w:r>
        <w:fldChar w:fldCharType="end"/>
      </w:r>
      <w:r>
        <w:rPr>
          <w:rFonts w:ascii="Times New Roman" w:hAnsi="Times New Roman" w:eastAsia="宋体"/>
          <w:i w:val="0"/>
          <w:color w:val="000000"/>
        </w:rPr>
        <w:fldChar w:fldCharType="end"/>
      </w:r>
    </w:p>
    <w:p w14:paraId="4B7C602E">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_Toc19888 </w:instrText>
      </w:r>
      <w:r>
        <w:rPr>
          <w:rFonts w:ascii="Times New Roman" w:hAnsi="Times New Roman" w:eastAsia="宋体"/>
          <w:i w:val="0"/>
        </w:rPr>
        <w:fldChar w:fldCharType="separate"/>
      </w:r>
      <w:r>
        <w:rPr>
          <w:rFonts w:ascii="Arial" w:hAnsi="Arial" w:eastAsia="黑体"/>
          <w:i w:val="0"/>
        </w:rPr>
        <w:t>3.4　数据探查与数据漂移发现</w:t>
      </w:r>
      <w:r>
        <w:tab/>
      </w:r>
      <w:r>
        <w:fldChar w:fldCharType="begin"/>
      </w:r>
      <w:r>
        <w:instrText xml:space="preserve"> PAGEREF _Toc19888 \h </w:instrText>
      </w:r>
      <w:r>
        <w:fldChar w:fldCharType="separate"/>
      </w:r>
      <w:r>
        <w:t>8</w:t>
      </w:r>
      <w:r>
        <w:fldChar w:fldCharType="end"/>
      </w:r>
      <w:r>
        <w:rPr>
          <w:rFonts w:ascii="Times New Roman" w:hAnsi="Times New Roman" w:eastAsia="宋体"/>
          <w:i w:val="0"/>
          <w:color w:val="000000"/>
        </w:rPr>
        <w:fldChar w:fldCharType="end"/>
      </w:r>
    </w:p>
    <w:p w14:paraId="42273088">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_Toc30403 </w:instrText>
      </w:r>
      <w:r>
        <w:rPr>
          <w:rFonts w:ascii="Times New Roman" w:hAnsi="Times New Roman" w:eastAsia="宋体"/>
          <w:i w:val="0"/>
        </w:rPr>
        <w:fldChar w:fldCharType="separate"/>
      </w:r>
      <w:r>
        <w:rPr>
          <w:rFonts w:ascii="Arial" w:hAnsi="Arial" w:eastAsia="黑体"/>
          <w:i w:val="0"/>
        </w:rPr>
        <w:t>第4章　系统实现</w:t>
      </w:r>
      <w:r>
        <w:tab/>
      </w:r>
      <w:r>
        <w:fldChar w:fldCharType="begin"/>
      </w:r>
      <w:r>
        <w:instrText xml:space="preserve"> PAGEREF _Toc30403 \h </w:instrText>
      </w:r>
      <w:r>
        <w:fldChar w:fldCharType="separate"/>
      </w:r>
      <w:r>
        <w:t>9</w:t>
      </w:r>
      <w:r>
        <w:fldChar w:fldCharType="end"/>
      </w:r>
      <w:r>
        <w:rPr>
          <w:rFonts w:ascii="Times New Roman" w:hAnsi="Times New Roman" w:eastAsia="宋体"/>
          <w:i w:val="0"/>
          <w:color w:val="000000"/>
        </w:rPr>
        <w:fldChar w:fldCharType="end"/>
      </w:r>
    </w:p>
    <w:p w14:paraId="2448DB4E">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_Toc3268 </w:instrText>
      </w:r>
      <w:r>
        <w:rPr>
          <w:rFonts w:ascii="Times New Roman" w:hAnsi="Times New Roman" w:eastAsia="宋体"/>
          <w:i w:val="0"/>
        </w:rPr>
        <w:fldChar w:fldCharType="separate"/>
      </w:r>
      <w:r>
        <w:rPr>
          <w:rFonts w:ascii="Arial" w:hAnsi="Arial" w:eastAsia="黑体"/>
          <w:i w:val="0"/>
        </w:rPr>
        <w:t>4.1　后端总体实现</w:t>
      </w:r>
      <w:r>
        <w:tab/>
      </w:r>
      <w:r>
        <w:fldChar w:fldCharType="begin"/>
      </w:r>
      <w:r>
        <w:instrText xml:space="preserve"> PAGEREF _Toc3268 \h </w:instrText>
      </w:r>
      <w:r>
        <w:fldChar w:fldCharType="separate"/>
      </w:r>
      <w:r>
        <w:t>9</w:t>
      </w:r>
      <w:r>
        <w:fldChar w:fldCharType="end"/>
      </w:r>
      <w:r>
        <w:rPr>
          <w:rFonts w:ascii="Times New Roman" w:hAnsi="Times New Roman" w:eastAsia="宋体"/>
          <w:i w:val="0"/>
          <w:color w:val="000000"/>
        </w:rPr>
        <w:fldChar w:fldCharType="end"/>
      </w:r>
    </w:p>
    <w:p w14:paraId="46EF381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_Toc15169 </w:instrText>
      </w:r>
      <w:r>
        <w:rPr>
          <w:rFonts w:ascii="Times New Roman" w:hAnsi="Times New Roman" w:eastAsia="宋体"/>
          <w:i w:val="0"/>
        </w:rPr>
        <w:fldChar w:fldCharType="separate"/>
      </w:r>
      <w:r>
        <w:rPr>
          <w:rFonts w:ascii="Arial" w:hAnsi="Arial" w:eastAsia="黑体"/>
          <w:i w:val="0"/>
        </w:rPr>
        <w:t>4.2　数据库访问层实现</w:t>
      </w:r>
      <w:r>
        <w:tab/>
      </w:r>
      <w:r>
        <w:fldChar w:fldCharType="begin"/>
      </w:r>
      <w:r>
        <w:instrText xml:space="preserve"> PAGEREF _Toc15169 \h </w:instrText>
      </w:r>
      <w:r>
        <w:fldChar w:fldCharType="separate"/>
      </w:r>
      <w:r>
        <w:t>9</w:t>
      </w:r>
      <w:r>
        <w:fldChar w:fldCharType="end"/>
      </w:r>
      <w:r>
        <w:rPr>
          <w:rFonts w:ascii="Times New Roman" w:hAnsi="Times New Roman" w:eastAsia="宋体"/>
          <w:i w:val="0"/>
          <w:color w:val="000000"/>
        </w:rPr>
        <w:fldChar w:fldCharType="end"/>
      </w:r>
    </w:p>
    <w:p w14:paraId="69CC6917">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_Toc12736 </w:instrText>
      </w:r>
      <w:r>
        <w:rPr>
          <w:rFonts w:ascii="Times New Roman" w:hAnsi="Times New Roman" w:eastAsia="宋体"/>
          <w:i w:val="0"/>
        </w:rPr>
        <w:fldChar w:fldCharType="separate"/>
      </w:r>
      <w:r>
        <w:rPr>
          <w:rFonts w:ascii="Arial" w:hAnsi="Arial" w:eastAsia="黑体"/>
          <w:i w:val="0"/>
        </w:rPr>
        <w:t>4.3　XGBoost 排放预测模块</w:t>
      </w:r>
      <w:r>
        <w:tab/>
      </w:r>
      <w:r>
        <w:fldChar w:fldCharType="begin"/>
      </w:r>
      <w:r>
        <w:instrText xml:space="preserve"> PAGEREF _Toc12736 \h </w:instrText>
      </w:r>
      <w:r>
        <w:fldChar w:fldCharType="separate"/>
      </w:r>
      <w:r>
        <w:t>9</w:t>
      </w:r>
      <w:r>
        <w:fldChar w:fldCharType="end"/>
      </w:r>
      <w:r>
        <w:rPr>
          <w:rFonts w:ascii="Times New Roman" w:hAnsi="Times New Roman" w:eastAsia="宋体"/>
          <w:i w:val="0"/>
          <w:color w:val="000000"/>
        </w:rPr>
        <w:fldChar w:fldCharType="end"/>
      </w:r>
    </w:p>
    <w:p w14:paraId="5C34328B">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_Toc3601 </w:instrText>
      </w:r>
      <w:r>
        <w:rPr>
          <w:rFonts w:ascii="Times New Roman" w:hAnsi="Times New Roman" w:eastAsia="宋体"/>
          <w:i w:val="0"/>
        </w:rPr>
        <w:fldChar w:fldCharType="separate"/>
      </w:r>
      <w:r>
        <w:rPr>
          <w:rFonts w:ascii="Arial" w:hAnsi="Arial" w:eastAsia="黑体"/>
          <w:i w:val="0"/>
        </w:rPr>
        <w:t>4.4　PSO 参数优化模块</w:t>
      </w:r>
      <w:r>
        <w:tab/>
      </w:r>
      <w:r>
        <w:fldChar w:fldCharType="begin"/>
      </w:r>
      <w:r>
        <w:instrText xml:space="preserve"> PAGEREF _Toc3601 \h </w:instrText>
      </w:r>
      <w:r>
        <w:fldChar w:fldCharType="separate"/>
      </w:r>
      <w:r>
        <w:t>10</w:t>
      </w:r>
      <w:r>
        <w:fldChar w:fldCharType="end"/>
      </w:r>
      <w:r>
        <w:rPr>
          <w:rFonts w:ascii="Times New Roman" w:hAnsi="Times New Roman" w:eastAsia="宋体"/>
          <w:i w:val="0"/>
          <w:color w:val="000000"/>
        </w:rPr>
        <w:fldChar w:fldCharType="end"/>
      </w:r>
    </w:p>
    <w:p w14:paraId="677B774D">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_Toc10401 </w:instrText>
      </w:r>
      <w:r>
        <w:rPr>
          <w:rFonts w:ascii="Times New Roman" w:hAnsi="Times New Roman" w:eastAsia="宋体"/>
          <w:i w:val="0"/>
        </w:rPr>
        <w:fldChar w:fldCharType="separate"/>
      </w:r>
      <w:r>
        <w:rPr>
          <w:rFonts w:ascii="Arial" w:hAnsi="Arial" w:eastAsia="黑体"/>
          <w:i w:val="0"/>
        </w:rPr>
        <w:t>4.5　孤立森林异常检测模块</w:t>
      </w:r>
      <w:r>
        <w:tab/>
      </w:r>
      <w:r>
        <w:fldChar w:fldCharType="begin"/>
      </w:r>
      <w:r>
        <w:instrText xml:space="preserve"> PAGEREF _Toc10401 \h </w:instrText>
      </w:r>
      <w:r>
        <w:fldChar w:fldCharType="separate"/>
      </w:r>
      <w:r>
        <w:t>10</w:t>
      </w:r>
      <w:r>
        <w:fldChar w:fldCharType="end"/>
      </w:r>
      <w:r>
        <w:rPr>
          <w:rFonts w:ascii="Times New Roman" w:hAnsi="Times New Roman" w:eastAsia="宋体"/>
          <w:i w:val="0"/>
          <w:color w:val="000000"/>
        </w:rPr>
        <w:fldChar w:fldCharType="end"/>
      </w:r>
    </w:p>
    <w:p w14:paraId="67DFF367">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_Toc15768 </w:instrText>
      </w:r>
      <w:r>
        <w:rPr>
          <w:rFonts w:ascii="Times New Roman" w:hAnsi="Times New Roman" w:eastAsia="宋体"/>
          <w:i w:val="0"/>
        </w:rPr>
        <w:fldChar w:fldCharType="separate"/>
      </w:r>
      <w:r>
        <w:rPr>
          <w:rFonts w:ascii="Arial" w:hAnsi="Arial" w:eastAsia="黑体"/>
          <w:i w:val="0"/>
        </w:rPr>
        <w:t>4.6　模型训练与效果评估</w:t>
      </w:r>
      <w:r>
        <w:tab/>
      </w:r>
      <w:r>
        <w:fldChar w:fldCharType="begin"/>
      </w:r>
      <w:r>
        <w:instrText xml:space="preserve"> PAGEREF _Toc15768 \h </w:instrText>
      </w:r>
      <w:r>
        <w:fldChar w:fldCharType="separate"/>
      </w:r>
      <w:r>
        <w:t>10</w:t>
      </w:r>
      <w:r>
        <w:fldChar w:fldCharType="end"/>
      </w:r>
      <w:r>
        <w:rPr>
          <w:rFonts w:ascii="Times New Roman" w:hAnsi="Times New Roman" w:eastAsia="宋体"/>
          <w:i w:val="0"/>
          <w:color w:val="000000"/>
        </w:rPr>
        <w:fldChar w:fldCharType="end"/>
      </w:r>
    </w:p>
    <w:p w14:paraId="2EDC8BDB">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_Toc14126 </w:instrText>
      </w:r>
      <w:r>
        <w:rPr>
          <w:rFonts w:ascii="Times New Roman" w:hAnsi="Times New Roman" w:eastAsia="宋体"/>
          <w:i w:val="0"/>
        </w:rPr>
        <w:fldChar w:fldCharType="separate"/>
      </w:r>
      <w:r>
        <w:rPr>
          <w:rFonts w:ascii="Arial" w:hAnsi="Arial" w:eastAsia="黑体"/>
          <w:i w:val="0"/>
        </w:rPr>
        <w:t>4.7　RESTful API 实现</w:t>
      </w:r>
      <w:r>
        <w:tab/>
      </w:r>
      <w:r>
        <w:fldChar w:fldCharType="begin"/>
      </w:r>
      <w:r>
        <w:instrText xml:space="preserve"> PAGEREF _Toc14126 \h </w:instrText>
      </w:r>
      <w:r>
        <w:fldChar w:fldCharType="separate"/>
      </w:r>
      <w:r>
        <w:t>11</w:t>
      </w:r>
      <w:r>
        <w:fldChar w:fldCharType="end"/>
      </w:r>
      <w:r>
        <w:rPr>
          <w:rFonts w:ascii="Times New Roman" w:hAnsi="Times New Roman" w:eastAsia="宋体"/>
          <w:i w:val="0"/>
          <w:color w:val="000000"/>
        </w:rPr>
        <w:fldChar w:fldCharType="end"/>
      </w:r>
    </w:p>
    <w:p w14:paraId="57C73A0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_Toc11690 </w:instrText>
      </w:r>
      <w:r>
        <w:rPr>
          <w:rFonts w:ascii="Times New Roman" w:hAnsi="Times New Roman" w:eastAsia="宋体"/>
          <w:i w:val="0"/>
        </w:rPr>
        <w:fldChar w:fldCharType="separate"/>
      </w:r>
      <w:r>
        <w:rPr>
          <w:rFonts w:ascii="Arial" w:hAnsi="Arial" w:eastAsia="黑体"/>
          <w:i w:val="0"/>
        </w:rPr>
        <w:t>4.8　前端实现</w:t>
      </w:r>
      <w:r>
        <w:tab/>
      </w:r>
      <w:r>
        <w:fldChar w:fldCharType="begin"/>
      </w:r>
      <w:r>
        <w:instrText xml:space="preserve"> PAGEREF _Toc11690 \h </w:instrText>
      </w:r>
      <w:r>
        <w:fldChar w:fldCharType="separate"/>
      </w:r>
      <w:r>
        <w:t>12</w:t>
      </w:r>
      <w:r>
        <w:fldChar w:fldCharType="end"/>
      </w:r>
      <w:r>
        <w:rPr>
          <w:rFonts w:ascii="Times New Roman" w:hAnsi="Times New Roman" w:eastAsia="宋体"/>
          <w:i w:val="0"/>
          <w:color w:val="000000"/>
        </w:rPr>
        <w:fldChar w:fldCharType="end"/>
      </w:r>
    </w:p>
    <w:p w14:paraId="29EADFEA">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_Toc14956 </w:instrText>
      </w:r>
      <w:r>
        <w:rPr>
          <w:rFonts w:ascii="Times New Roman" w:hAnsi="Times New Roman" w:eastAsia="宋体"/>
          <w:i w:val="0"/>
        </w:rPr>
        <w:fldChar w:fldCharType="separate"/>
      </w:r>
      <w:r>
        <w:rPr>
          <w:rFonts w:ascii="Arial" w:hAnsi="Arial" w:eastAsia="黑体"/>
          <w:i w:val="0"/>
        </w:rPr>
        <w:t>第5章　测试与集成调试</w:t>
      </w:r>
      <w:r>
        <w:tab/>
      </w:r>
      <w:r>
        <w:fldChar w:fldCharType="begin"/>
      </w:r>
      <w:r>
        <w:instrText xml:space="preserve"> PAGEREF _Toc14956 \h </w:instrText>
      </w:r>
      <w:r>
        <w:fldChar w:fldCharType="separate"/>
      </w:r>
      <w:r>
        <w:t>13</w:t>
      </w:r>
      <w:r>
        <w:fldChar w:fldCharType="end"/>
      </w:r>
      <w:r>
        <w:rPr>
          <w:rFonts w:ascii="Times New Roman" w:hAnsi="Times New Roman" w:eastAsia="宋体"/>
          <w:i w:val="0"/>
          <w:color w:val="000000"/>
        </w:rPr>
        <w:fldChar w:fldCharType="end"/>
      </w:r>
    </w:p>
    <w:p w14:paraId="1F282416">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_Toc13745 </w:instrText>
      </w:r>
      <w:r>
        <w:rPr>
          <w:rFonts w:ascii="Times New Roman" w:hAnsi="Times New Roman" w:eastAsia="宋体"/>
          <w:i w:val="0"/>
        </w:rPr>
        <w:fldChar w:fldCharType="separate"/>
      </w:r>
      <w:r>
        <w:rPr>
          <w:rFonts w:ascii="Arial" w:hAnsi="Arial" w:eastAsia="黑体"/>
          <w:i w:val="0"/>
        </w:rPr>
        <w:t>5.1　自动化测试设计与结果</w:t>
      </w:r>
      <w:r>
        <w:tab/>
      </w:r>
      <w:r>
        <w:fldChar w:fldCharType="begin"/>
      </w:r>
      <w:r>
        <w:instrText xml:space="preserve"> PAGEREF _Toc13745 \h </w:instrText>
      </w:r>
      <w:r>
        <w:fldChar w:fldCharType="separate"/>
      </w:r>
      <w:r>
        <w:t>13</w:t>
      </w:r>
      <w:r>
        <w:fldChar w:fldCharType="end"/>
      </w:r>
      <w:r>
        <w:rPr>
          <w:rFonts w:ascii="Times New Roman" w:hAnsi="Times New Roman" w:eastAsia="宋体"/>
          <w:i w:val="0"/>
          <w:color w:val="000000"/>
        </w:rPr>
        <w:fldChar w:fldCharType="end"/>
      </w:r>
    </w:p>
    <w:p w14:paraId="6F95D5CD">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_Toc18608 </w:instrText>
      </w:r>
      <w:r>
        <w:rPr>
          <w:rFonts w:ascii="Times New Roman" w:hAnsi="Times New Roman" w:eastAsia="宋体"/>
          <w:i w:val="0"/>
        </w:rPr>
        <w:fldChar w:fldCharType="separate"/>
      </w:r>
      <w:r>
        <w:rPr>
          <w:rFonts w:ascii="Arial" w:hAnsi="Arial" w:eastAsia="黑体"/>
          <w:i w:val="0"/>
        </w:rPr>
        <w:t>5.2　前后端集成联调</w:t>
      </w:r>
      <w:r>
        <w:tab/>
      </w:r>
      <w:r>
        <w:fldChar w:fldCharType="begin"/>
      </w:r>
      <w:r>
        <w:instrText xml:space="preserve"> PAGEREF _Toc18608 \h </w:instrText>
      </w:r>
      <w:r>
        <w:fldChar w:fldCharType="separate"/>
      </w:r>
      <w:r>
        <w:t>13</w:t>
      </w:r>
      <w:r>
        <w:fldChar w:fldCharType="end"/>
      </w:r>
      <w:r>
        <w:rPr>
          <w:rFonts w:ascii="Times New Roman" w:hAnsi="Times New Roman" w:eastAsia="宋体"/>
          <w:i w:val="0"/>
          <w:color w:val="000000"/>
        </w:rPr>
        <w:fldChar w:fldCharType="end"/>
      </w:r>
    </w:p>
    <w:p w14:paraId="2812EC05">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_Toc1275 </w:instrText>
      </w:r>
      <w:r>
        <w:rPr>
          <w:rFonts w:ascii="Times New Roman" w:hAnsi="Times New Roman" w:eastAsia="宋体"/>
          <w:i w:val="0"/>
        </w:rPr>
        <w:fldChar w:fldCharType="separate"/>
      </w:r>
      <w:r>
        <w:rPr>
          <w:rFonts w:ascii="Arial" w:hAnsi="Arial" w:eastAsia="黑体"/>
          <w:i w:val="0"/>
        </w:rPr>
        <w:t>5.3　业务闭环实测</w:t>
      </w:r>
      <w:r>
        <w:tab/>
      </w:r>
      <w:r>
        <w:fldChar w:fldCharType="begin"/>
      </w:r>
      <w:r>
        <w:instrText xml:space="preserve"> PAGEREF _Toc1275 \h </w:instrText>
      </w:r>
      <w:r>
        <w:fldChar w:fldCharType="separate"/>
      </w:r>
      <w:r>
        <w:t>13</w:t>
      </w:r>
      <w:r>
        <w:fldChar w:fldCharType="end"/>
      </w:r>
      <w:r>
        <w:rPr>
          <w:rFonts w:ascii="Times New Roman" w:hAnsi="Times New Roman" w:eastAsia="宋体"/>
          <w:i w:val="0"/>
          <w:color w:val="000000"/>
        </w:rPr>
        <w:fldChar w:fldCharType="end"/>
      </w:r>
    </w:p>
    <w:p w14:paraId="73830CE7">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_Toc9522 </w:instrText>
      </w:r>
      <w:r>
        <w:rPr>
          <w:rFonts w:ascii="Times New Roman" w:hAnsi="Times New Roman" w:eastAsia="宋体"/>
          <w:i w:val="0"/>
        </w:rPr>
        <w:fldChar w:fldCharType="separate"/>
      </w:r>
      <w:r>
        <w:rPr>
          <w:rFonts w:ascii="Arial" w:hAnsi="Arial" w:eastAsia="黑体"/>
          <w:i w:val="0"/>
        </w:rPr>
        <w:t>5.4　典型缺陷与调试过程</w:t>
      </w:r>
      <w:r>
        <w:tab/>
      </w:r>
      <w:r>
        <w:fldChar w:fldCharType="begin"/>
      </w:r>
      <w:r>
        <w:instrText xml:space="preserve"> PAGEREF _Toc9522 \h </w:instrText>
      </w:r>
      <w:r>
        <w:fldChar w:fldCharType="separate"/>
      </w:r>
      <w:r>
        <w:t>14</w:t>
      </w:r>
      <w:r>
        <w:fldChar w:fldCharType="end"/>
      </w:r>
      <w:r>
        <w:rPr>
          <w:rFonts w:ascii="Times New Roman" w:hAnsi="Times New Roman" w:eastAsia="宋体"/>
          <w:i w:val="0"/>
          <w:color w:val="000000"/>
        </w:rPr>
        <w:fldChar w:fldCharType="end"/>
      </w:r>
    </w:p>
    <w:p w14:paraId="70786F90">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_Toc26232 </w:instrText>
      </w:r>
      <w:r>
        <w:rPr>
          <w:rFonts w:ascii="Times New Roman" w:hAnsi="Times New Roman" w:eastAsia="宋体"/>
          <w:i w:val="0"/>
        </w:rPr>
        <w:fldChar w:fldCharType="separate"/>
      </w:r>
      <w:r>
        <w:rPr>
          <w:rFonts w:ascii="Arial" w:hAnsi="Arial" w:eastAsia="黑体"/>
          <w:i w:val="0"/>
        </w:rPr>
        <w:t>第6章　AI 工具使用披露</w:t>
      </w:r>
      <w:r>
        <w:tab/>
      </w:r>
      <w:r>
        <w:fldChar w:fldCharType="begin"/>
      </w:r>
      <w:r>
        <w:instrText xml:space="preserve"> PAGEREF _Toc26232 \h </w:instrText>
      </w:r>
      <w:r>
        <w:fldChar w:fldCharType="separate"/>
      </w:r>
      <w:r>
        <w:t>15</w:t>
      </w:r>
      <w:r>
        <w:fldChar w:fldCharType="end"/>
      </w:r>
      <w:r>
        <w:rPr>
          <w:rFonts w:ascii="Times New Roman" w:hAnsi="Times New Roman" w:eastAsia="宋体"/>
          <w:i w:val="0"/>
          <w:color w:val="000000"/>
        </w:rPr>
        <w:fldChar w:fldCharType="end"/>
      </w:r>
    </w:p>
    <w:p w14:paraId="51323827">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_Toc6481 </w:instrText>
      </w:r>
      <w:r>
        <w:rPr>
          <w:rFonts w:ascii="Times New Roman" w:hAnsi="Times New Roman" w:eastAsia="宋体"/>
          <w:i w:val="0"/>
        </w:rPr>
        <w:fldChar w:fldCharType="separate"/>
      </w:r>
      <w:r>
        <w:rPr>
          <w:rFonts w:ascii="Arial" w:hAnsi="Arial" w:eastAsia="黑体"/>
          <w:i w:val="0"/>
        </w:rPr>
        <w:t>6.1　所用 AI 工具与协作模式</w:t>
      </w:r>
      <w:r>
        <w:tab/>
      </w:r>
      <w:r>
        <w:fldChar w:fldCharType="begin"/>
      </w:r>
      <w:r>
        <w:instrText xml:space="preserve"> PAGEREF _Toc6481 \h </w:instrText>
      </w:r>
      <w:r>
        <w:fldChar w:fldCharType="separate"/>
      </w:r>
      <w:r>
        <w:t>15</w:t>
      </w:r>
      <w:r>
        <w:fldChar w:fldCharType="end"/>
      </w:r>
      <w:r>
        <w:rPr>
          <w:rFonts w:ascii="Times New Roman" w:hAnsi="Times New Roman" w:eastAsia="宋体"/>
          <w:i w:val="0"/>
          <w:color w:val="000000"/>
        </w:rPr>
        <w:fldChar w:fldCharType="end"/>
      </w:r>
    </w:p>
    <w:p w14:paraId="02859BB5">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_Toc18293 </w:instrText>
      </w:r>
      <w:r>
        <w:rPr>
          <w:rFonts w:ascii="Times New Roman" w:hAnsi="Times New Roman" w:eastAsia="宋体"/>
          <w:i w:val="0"/>
        </w:rPr>
        <w:fldChar w:fldCharType="separate"/>
      </w:r>
      <w:r>
        <w:rPr>
          <w:rFonts w:ascii="Arial" w:hAnsi="Arial" w:eastAsia="黑体"/>
          <w:i w:val="0"/>
        </w:rPr>
        <w:t>6.2　关键提示词策略</w:t>
      </w:r>
      <w:r>
        <w:tab/>
      </w:r>
      <w:r>
        <w:fldChar w:fldCharType="begin"/>
      </w:r>
      <w:r>
        <w:instrText xml:space="preserve"> PAGEREF _Toc18293 \h </w:instrText>
      </w:r>
      <w:r>
        <w:fldChar w:fldCharType="separate"/>
      </w:r>
      <w:r>
        <w:t>15</w:t>
      </w:r>
      <w:r>
        <w:fldChar w:fldCharType="end"/>
      </w:r>
      <w:r>
        <w:rPr>
          <w:rFonts w:ascii="Times New Roman" w:hAnsi="Times New Roman" w:eastAsia="宋体"/>
          <w:i w:val="0"/>
          <w:color w:val="000000"/>
        </w:rPr>
        <w:fldChar w:fldCharType="end"/>
      </w:r>
    </w:p>
    <w:p w14:paraId="1EFC86B5">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_Toc10475 </w:instrText>
      </w:r>
      <w:r>
        <w:rPr>
          <w:rFonts w:ascii="Times New Roman" w:hAnsi="Times New Roman" w:eastAsia="宋体"/>
          <w:i w:val="0"/>
        </w:rPr>
        <w:fldChar w:fldCharType="separate"/>
      </w:r>
      <w:r>
        <w:rPr>
          <w:rFonts w:ascii="Arial" w:hAnsi="Arial" w:eastAsia="黑体"/>
          <w:i w:val="0"/>
        </w:rPr>
        <w:t>6.3　AI 出错案例及纠正过程</w:t>
      </w:r>
      <w:r>
        <w:tab/>
      </w:r>
      <w:r>
        <w:fldChar w:fldCharType="begin"/>
      </w:r>
      <w:r>
        <w:instrText xml:space="preserve"> PAGEREF _Toc10475 \h </w:instrText>
      </w:r>
      <w:r>
        <w:fldChar w:fldCharType="separate"/>
      </w:r>
      <w:r>
        <w:t>15</w:t>
      </w:r>
      <w:r>
        <w:fldChar w:fldCharType="end"/>
      </w:r>
      <w:r>
        <w:rPr>
          <w:rFonts w:ascii="Times New Roman" w:hAnsi="Times New Roman" w:eastAsia="宋体"/>
          <w:i w:val="0"/>
          <w:color w:val="000000"/>
        </w:rPr>
        <w:fldChar w:fldCharType="end"/>
      </w:r>
    </w:p>
    <w:p w14:paraId="5512E003">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_Toc16659 </w:instrText>
      </w:r>
      <w:r>
        <w:rPr>
          <w:rFonts w:ascii="Times New Roman" w:hAnsi="Times New Roman" w:eastAsia="宋体"/>
          <w:i w:val="0"/>
        </w:rPr>
        <w:fldChar w:fldCharType="separate"/>
      </w:r>
      <w:r>
        <w:rPr>
          <w:rFonts w:ascii="Arial" w:hAnsi="Arial" w:eastAsia="黑体"/>
          <w:i w:val="0"/>
        </w:rPr>
        <w:t>6.4　人工审查与代码掌握</w:t>
      </w:r>
      <w:r>
        <w:tab/>
      </w:r>
      <w:r>
        <w:fldChar w:fldCharType="begin"/>
      </w:r>
      <w:r>
        <w:instrText xml:space="preserve"> PAGEREF _Toc16659 \h </w:instrText>
      </w:r>
      <w:r>
        <w:fldChar w:fldCharType="separate"/>
      </w:r>
      <w:r>
        <w:t>16</w:t>
      </w:r>
      <w:r>
        <w:fldChar w:fldCharType="end"/>
      </w:r>
      <w:r>
        <w:rPr>
          <w:rFonts w:ascii="Times New Roman" w:hAnsi="Times New Roman" w:eastAsia="宋体"/>
          <w:i w:val="0"/>
          <w:color w:val="000000"/>
        </w:rPr>
        <w:fldChar w:fldCharType="end"/>
      </w:r>
    </w:p>
    <w:p w14:paraId="6C42761D">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_Toc626 </w:instrText>
      </w:r>
      <w:r>
        <w:rPr>
          <w:rFonts w:ascii="Times New Roman" w:hAnsi="Times New Roman" w:eastAsia="宋体"/>
          <w:i w:val="0"/>
        </w:rPr>
        <w:fldChar w:fldCharType="separate"/>
      </w:r>
      <w:r>
        <w:rPr>
          <w:rFonts w:ascii="Arial" w:hAnsi="Arial" w:eastAsia="黑体"/>
          <w:i w:val="0"/>
        </w:rPr>
        <w:t>6.5　AI 协作档案管理</w:t>
      </w:r>
      <w:r>
        <w:tab/>
      </w:r>
      <w:r>
        <w:fldChar w:fldCharType="begin"/>
      </w:r>
      <w:r>
        <w:instrText xml:space="preserve"> PAGEREF _Toc626 \h </w:instrText>
      </w:r>
      <w:r>
        <w:fldChar w:fldCharType="separate"/>
      </w:r>
      <w:r>
        <w:t>16</w:t>
      </w:r>
      <w:r>
        <w:fldChar w:fldCharType="end"/>
      </w:r>
      <w:r>
        <w:rPr>
          <w:rFonts w:ascii="Times New Roman" w:hAnsi="Times New Roman" w:eastAsia="宋体"/>
          <w:i w:val="0"/>
          <w:color w:val="000000"/>
        </w:rPr>
        <w:fldChar w:fldCharType="end"/>
      </w:r>
    </w:p>
    <w:p w14:paraId="094B3DAF">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_Toc8838 </w:instrText>
      </w:r>
      <w:r>
        <w:rPr>
          <w:rFonts w:ascii="Times New Roman" w:hAnsi="Times New Roman" w:eastAsia="宋体"/>
          <w:i w:val="0"/>
        </w:rPr>
        <w:fldChar w:fldCharType="separate"/>
      </w:r>
      <w:r>
        <w:rPr>
          <w:rFonts w:ascii="Arial" w:hAnsi="Arial" w:eastAsia="黑体"/>
          <w:i w:val="0"/>
        </w:rPr>
        <w:t>第7章　总结与展望</w:t>
      </w:r>
      <w:r>
        <w:tab/>
      </w:r>
      <w:r>
        <w:fldChar w:fldCharType="begin"/>
      </w:r>
      <w:r>
        <w:instrText xml:space="preserve"> PAGEREF _Toc8838 \h </w:instrText>
      </w:r>
      <w:r>
        <w:fldChar w:fldCharType="separate"/>
      </w:r>
      <w:r>
        <w:t>17</w:t>
      </w:r>
      <w:r>
        <w:fldChar w:fldCharType="end"/>
      </w:r>
      <w:r>
        <w:rPr>
          <w:rFonts w:ascii="Times New Roman" w:hAnsi="Times New Roman" w:eastAsia="宋体"/>
          <w:i w:val="0"/>
          <w:color w:val="000000"/>
        </w:rPr>
        <w:fldChar w:fldCharType="end"/>
      </w:r>
    </w:p>
    <w:p w14:paraId="524A87A0">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_Toc20642 </w:instrText>
      </w:r>
      <w:r>
        <w:rPr>
          <w:rFonts w:ascii="Times New Roman" w:hAnsi="Times New Roman" w:eastAsia="宋体"/>
          <w:i w:val="0"/>
        </w:rPr>
        <w:fldChar w:fldCharType="separate"/>
      </w:r>
      <w:r>
        <w:rPr>
          <w:rFonts w:ascii="Arial" w:hAnsi="Arial" w:eastAsia="黑体"/>
          <w:i w:val="0"/>
        </w:rPr>
        <w:t>7.1　工作总结</w:t>
      </w:r>
      <w:r>
        <w:tab/>
      </w:r>
      <w:r>
        <w:fldChar w:fldCharType="begin"/>
      </w:r>
      <w:r>
        <w:instrText xml:space="preserve"> PAGEREF _Toc20642 \h </w:instrText>
      </w:r>
      <w:r>
        <w:fldChar w:fldCharType="separate"/>
      </w:r>
      <w:r>
        <w:t>17</w:t>
      </w:r>
      <w:r>
        <w:fldChar w:fldCharType="end"/>
      </w:r>
      <w:r>
        <w:rPr>
          <w:rFonts w:ascii="Times New Roman" w:hAnsi="Times New Roman" w:eastAsia="宋体"/>
          <w:i w:val="0"/>
          <w:color w:val="000000"/>
        </w:rPr>
        <w:fldChar w:fldCharType="end"/>
      </w:r>
    </w:p>
    <w:p w14:paraId="737B2FEC">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_Toc10865 </w:instrText>
      </w:r>
      <w:r>
        <w:rPr>
          <w:rFonts w:ascii="Times New Roman" w:hAnsi="Times New Roman" w:eastAsia="宋体"/>
          <w:i w:val="0"/>
        </w:rPr>
        <w:fldChar w:fldCharType="separate"/>
      </w:r>
      <w:r>
        <w:rPr>
          <w:rFonts w:ascii="Arial" w:hAnsi="Arial" w:eastAsia="黑体"/>
          <w:i w:val="0"/>
        </w:rPr>
        <w:t>7.2　存在不足</w:t>
      </w:r>
      <w:r>
        <w:tab/>
      </w:r>
      <w:r>
        <w:fldChar w:fldCharType="begin"/>
      </w:r>
      <w:r>
        <w:instrText xml:space="preserve"> PAGEREF _Toc10865 \h </w:instrText>
      </w:r>
      <w:r>
        <w:fldChar w:fldCharType="separate"/>
      </w:r>
      <w:r>
        <w:t>17</w:t>
      </w:r>
      <w:r>
        <w:fldChar w:fldCharType="end"/>
      </w:r>
      <w:r>
        <w:rPr>
          <w:rFonts w:ascii="Times New Roman" w:hAnsi="Times New Roman" w:eastAsia="宋体"/>
          <w:i w:val="0"/>
          <w:color w:val="000000"/>
        </w:rPr>
        <w:fldChar w:fldCharType="end"/>
      </w:r>
    </w:p>
    <w:p w14:paraId="1C39D264">
      <w:pPr>
        <w:pStyle w:val="29"/>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_Toc782 </w:instrText>
      </w:r>
      <w:r>
        <w:rPr>
          <w:rFonts w:ascii="Times New Roman" w:hAnsi="Times New Roman" w:eastAsia="宋体"/>
          <w:i w:val="0"/>
        </w:rPr>
        <w:fldChar w:fldCharType="separate"/>
      </w:r>
      <w:r>
        <w:rPr>
          <w:rFonts w:ascii="Arial" w:hAnsi="Arial" w:eastAsia="黑体"/>
          <w:i w:val="0"/>
        </w:rPr>
        <w:t>7.3　未来展望</w:t>
      </w:r>
      <w:r>
        <w:tab/>
      </w:r>
      <w:r>
        <w:fldChar w:fldCharType="begin"/>
      </w:r>
      <w:r>
        <w:instrText xml:space="preserve"> PAGEREF _Toc782 \h </w:instrText>
      </w:r>
      <w:r>
        <w:fldChar w:fldCharType="separate"/>
      </w:r>
      <w:r>
        <w:t>17</w:t>
      </w:r>
      <w:r>
        <w:fldChar w:fldCharType="end"/>
      </w:r>
      <w:r>
        <w:rPr>
          <w:rFonts w:ascii="Times New Roman" w:hAnsi="Times New Roman" w:eastAsia="宋体"/>
          <w:i w:val="0"/>
          <w:color w:val="000000"/>
        </w:rPr>
        <w:fldChar w:fldCharType="end"/>
      </w:r>
    </w:p>
    <w:p w14:paraId="2D57CE4E">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_Toc20425 </w:instrText>
      </w:r>
      <w:r>
        <w:rPr>
          <w:rFonts w:ascii="Times New Roman" w:hAnsi="Times New Roman" w:eastAsia="宋体"/>
          <w:i w:val="0"/>
        </w:rPr>
        <w:fldChar w:fldCharType="separate"/>
      </w:r>
      <w:r>
        <w:rPr>
          <w:rFonts w:ascii="Arial" w:hAnsi="Arial" w:eastAsia="黑体"/>
          <w:i w:val="0"/>
        </w:rPr>
        <w:t>参考文献</w:t>
      </w:r>
      <w:r>
        <w:tab/>
      </w:r>
      <w:r>
        <w:fldChar w:fldCharType="begin"/>
      </w:r>
      <w:r>
        <w:instrText xml:space="preserve"> PAGEREF _Toc20425 \h </w:instrText>
      </w:r>
      <w:r>
        <w:fldChar w:fldCharType="separate"/>
      </w:r>
      <w:r>
        <w:t>19</w:t>
      </w:r>
      <w:r>
        <w:fldChar w:fldCharType="end"/>
      </w:r>
      <w:r>
        <w:rPr>
          <w:rFonts w:ascii="Times New Roman" w:hAnsi="Times New Roman" w:eastAsia="宋体"/>
          <w:i w:val="0"/>
          <w:color w:val="000000"/>
        </w:rPr>
        <w:fldChar w:fldCharType="end"/>
      </w:r>
    </w:p>
    <w:p w14:paraId="5A5410A6">
      <w:pPr>
        <w:pStyle w:val="26"/>
        <w:tabs>
          <w:tab w:val="right" w:leader="dot" w:pos="9072"/>
        </w:tabs>
      </w:pPr>
      <w:r>
        <w:rPr>
          <w:rFonts w:ascii="Times New Roman" w:hAnsi="Times New Roman" w:eastAsia="宋体"/>
          <w:i w:val="0"/>
          <w:color w:val="000000"/>
        </w:rPr>
        <w:fldChar w:fldCharType="begin"/>
      </w:r>
      <w:r>
        <w:rPr>
          <w:rFonts w:ascii="Times New Roman" w:hAnsi="Times New Roman" w:eastAsia="宋体"/>
          <w:i w:val="0"/>
        </w:rPr>
        <w:instrText xml:space="preserve"> HYPERLINK \l _Toc3030 </w:instrText>
      </w:r>
      <w:r>
        <w:rPr>
          <w:rFonts w:ascii="Times New Roman" w:hAnsi="Times New Roman" w:eastAsia="宋体"/>
          <w:i w:val="0"/>
        </w:rPr>
        <w:fldChar w:fldCharType="separate"/>
      </w:r>
      <w:r>
        <w:rPr>
          <w:rFonts w:ascii="Arial" w:hAnsi="Arial" w:eastAsia="黑体"/>
          <w:i w:val="0"/>
        </w:rPr>
        <w:t>附录A　系统运行与复现说明</w:t>
      </w:r>
      <w:r>
        <w:tab/>
      </w:r>
      <w:r>
        <w:fldChar w:fldCharType="begin"/>
      </w:r>
      <w:r>
        <w:instrText xml:space="preserve"> PAGEREF _Toc3030 \h </w:instrText>
      </w:r>
      <w:r>
        <w:fldChar w:fldCharType="separate"/>
      </w:r>
      <w:r>
        <w:t>20</w:t>
      </w:r>
      <w:r>
        <w:fldChar w:fldCharType="end"/>
      </w:r>
      <w:r>
        <w:rPr>
          <w:rFonts w:ascii="Times New Roman" w:hAnsi="Times New Roman" w:eastAsia="宋体"/>
          <w:i w:val="0"/>
          <w:color w:val="000000"/>
        </w:rPr>
        <w:fldChar w:fldCharType="end"/>
      </w:r>
    </w:p>
    <w:p w14:paraId="5109221D">
      <w:r>
        <w:rPr>
          <w:rFonts w:ascii="Times New Roman" w:hAnsi="Times New Roman" w:eastAsia="宋体"/>
          <w:i w:val="0"/>
          <w:color w:val="000000"/>
        </w:rPr>
        <w:fldChar w:fldCharType="end"/>
      </w:r>
    </w:p>
    <w:p w14:paraId="6127D5B5">
      <w:pPr>
        <w:sectPr>
          <w:pgSz w:w="11906" w:h="16838"/>
          <w:pgMar w:top="1417" w:right="1417" w:bottom="1417" w:left="1417" w:header="720" w:footer="720" w:gutter="0"/>
          <w:cols w:space="720" w:num="1"/>
          <w:docGrid w:linePitch="360" w:charSpace="0"/>
        </w:sectPr>
      </w:pPr>
    </w:p>
    <w:p w14:paraId="0F886082">
      <w:pPr>
        <w:pStyle w:val="3"/>
        <w:spacing w:before="280" w:after="120" w:line="360" w:lineRule="auto"/>
      </w:pPr>
      <w:bookmarkStart w:id="0" w:name="_Toc7311"/>
      <w:r>
        <w:rPr>
          <w:rFonts w:ascii="Arial" w:hAnsi="Arial" w:eastAsia="黑体"/>
          <w:b/>
          <w:i w:val="0"/>
          <w:color w:val="000000"/>
          <w:sz w:val="32"/>
        </w:rPr>
        <w:t>第1章　绪论</w:t>
      </w:r>
      <w:bookmarkEnd w:id="0"/>
    </w:p>
    <w:p w14:paraId="0471B097">
      <w:pPr>
        <w:pStyle w:val="4"/>
        <w:spacing w:before="220" w:after="100" w:line="360" w:lineRule="auto"/>
      </w:pPr>
      <w:bookmarkStart w:id="1" w:name="_Toc20566"/>
      <w:r>
        <w:rPr>
          <w:rFonts w:ascii="Arial" w:hAnsi="Arial" w:eastAsia="黑体"/>
          <w:b/>
          <w:i w:val="0"/>
          <w:color w:val="000000"/>
          <w:sz w:val="28"/>
        </w:rPr>
        <w:t>1.1　研究背景</w:t>
      </w:r>
      <w:bookmarkEnd w:id="1"/>
    </w:p>
    <w:p w14:paraId="1E04995E">
      <w:pPr>
        <w:spacing w:before="0" w:after="0" w:line="360" w:lineRule="auto"/>
        <w:ind w:firstLine="480" w:firstLineChars="200"/>
        <w:jc w:val="both"/>
      </w:pPr>
      <w:r>
        <w:rPr>
          <w:rFonts w:ascii="Times New Roman" w:hAnsi="Times New Roman" w:eastAsia="宋体"/>
          <w:b w:val="0"/>
          <w:i w:val="0"/>
          <w:color w:val="000000"/>
          <w:sz w:val="24"/>
        </w:rPr>
        <w:t>燃气轮机是工业发电、油气输送与动力驱动领域的核心装备，具有功率密度高、启动迅速、运行灵活等特点。在“双碳”目标与大气污染物排放控制日趋严格的背景下，燃气轮机电站在追求高能量产出的同时，必须将一氧化碳（CO）、氮氧化物（NOx）等污染物排放浓度控制在标准限值以内。机组的排放水平与环境温度、环境压力、进气湿度、压气机出口压力、涡轮进口温度等众多运行参数之间存在复杂的非线性耦合关系，传统运行方式主要依赖操作人员经验进行参数调整，存在迭代周期长、难以同时兼顾效率与排放、异常工况发现滞后等问题。</w:t>
      </w:r>
    </w:p>
    <w:p w14:paraId="3325D288">
      <w:pPr>
        <w:spacing w:before="0" w:after="0" w:line="360" w:lineRule="auto"/>
        <w:ind w:firstLine="480" w:firstLineChars="200"/>
        <w:jc w:val="both"/>
      </w:pPr>
      <w:r>
        <w:rPr>
          <w:rFonts w:ascii="Times New Roman" w:hAnsi="Times New Roman" w:eastAsia="宋体"/>
          <w:b w:val="0"/>
          <w:i w:val="0"/>
          <w:color w:val="000000"/>
          <w:sz w:val="24"/>
        </w:rPr>
        <w:t>随着工业大数据与人工智能技术的发展，以数据驱动的方式对机组运行参数、能量产出与污染物排放之间的映射关系进行建模，并在此基础上实现排放预测、参数寻优与异常预警，成为制造智能技术在工业动力装备运维场景落地的重要方向。本课程设计正是在这一背景下，面向燃气轮机运行优化与排放管控的真实业务环节，设计并实现一套可运行、可演示、可追溯的智能系统。</w:t>
      </w:r>
    </w:p>
    <w:p w14:paraId="3C956D89">
      <w:pPr>
        <w:pStyle w:val="4"/>
        <w:spacing w:before="220" w:after="100" w:line="360" w:lineRule="auto"/>
      </w:pPr>
      <w:bookmarkStart w:id="2" w:name="_Toc7305"/>
      <w:r>
        <w:rPr>
          <w:rFonts w:ascii="Arial" w:hAnsi="Arial" w:eastAsia="黑体"/>
          <w:b/>
          <w:i w:val="0"/>
          <w:color w:val="000000"/>
          <w:sz w:val="28"/>
        </w:rPr>
        <w:t>1.2　研究意义</w:t>
      </w:r>
      <w:bookmarkEnd w:id="2"/>
    </w:p>
    <w:p w14:paraId="1EB96685">
      <w:pPr>
        <w:spacing w:before="0" w:after="0" w:line="360" w:lineRule="auto"/>
        <w:ind w:firstLine="480" w:firstLineChars="200"/>
        <w:jc w:val="both"/>
      </w:pPr>
      <w:r>
        <w:rPr>
          <w:rFonts w:ascii="Times New Roman" w:hAnsi="Times New Roman" w:eastAsia="宋体"/>
          <w:b w:val="0"/>
          <w:i w:val="0"/>
          <w:color w:val="000000"/>
          <w:sz w:val="24"/>
        </w:rPr>
        <w:t>本课题的研究与实践意义主要体现在三个方面。其一，在工程应用层面，排放浓度预测可在调整运行参数前预先评估其对排放与能量产出的影响，参数智能寻优可在排放达标约束下自动给出更优运行方案，异常检测可对偏离正常分布的工况进行早期预警，三者共同支撑机组的安全、高效、低碳运行。其二，在课程学习层面，本课题将监督学习回归、智能优化算法、无监督异常检测三类核心制造智能技术集成于同一系统，并贯通数据处理、模型训练、后端服务、数据库、前端交互与自动化测试的完整工程链路，是对制造智能技术课程知识体系的一次综合实践。其三，在开发方法层面，本课题全程采用课程要求的 vibe coding 方法，以 AI 编程工具为协作者、以人工审查与测试为质量保障，并完整保留提示词追溯档案，对理解“人机协同开发”的正确工作方式具有现实意义。</w:t>
      </w:r>
    </w:p>
    <w:p w14:paraId="2C9BF3EA">
      <w:pPr>
        <w:pStyle w:val="4"/>
        <w:spacing w:before="220" w:after="100" w:line="360" w:lineRule="auto"/>
      </w:pPr>
      <w:bookmarkStart w:id="3" w:name="_Toc10565"/>
      <w:r>
        <w:rPr>
          <w:rFonts w:ascii="Arial" w:hAnsi="Arial" w:eastAsia="黑体"/>
          <w:b/>
          <w:i w:val="0"/>
          <w:color w:val="000000"/>
          <w:sz w:val="28"/>
        </w:rPr>
        <w:t>1.3　相关技术现状</w:t>
      </w:r>
      <w:bookmarkEnd w:id="3"/>
    </w:p>
    <w:p w14:paraId="018A5C9C">
      <w:pPr>
        <w:spacing w:before="0" w:after="0" w:line="360" w:lineRule="auto"/>
        <w:ind w:firstLine="480" w:firstLineChars="200"/>
        <w:jc w:val="both"/>
      </w:pPr>
      <w:r>
        <w:rPr>
          <w:rFonts w:ascii="Times New Roman" w:hAnsi="Times New Roman" w:eastAsia="宋体"/>
          <w:b w:val="0"/>
          <w:i w:val="0"/>
          <w:color w:val="000000"/>
          <w:sz w:val="24"/>
        </w:rPr>
        <w:t>在排放建模方面，梯度提升决策树因其对表格型工业数据非线性关系拟合能力强、对特征尺度不敏感、训练效率较高，被广泛用于工业过程回归建模，其中 XGBoost 是代表性算法。在运行参数优化方面，粒子群优化算法（Particle Swarm Optimization, PSO）通过群体中粒子的速度与位置迭代更新寻找最优解，具有收敛较快、无需梯度信息、易于实现等优点，适用于连续型运行参数的多约束寻优。在异常检测方面，孤立森林（Isolation Forest）通过随机划分隔离样本、以平均路径长度刻画异常程度，仅需正常工况样本即可构建监测基准，尤其契合工业现场故障样本稀少、难以获得充分标注的特点。上述技术均为成熟的制造智能方法，本课题在此基础上面向具体业务进行集成与工程化实现。</w:t>
      </w:r>
    </w:p>
    <w:p w14:paraId="45890142">
      <w:pPr>
        <w:pStyle w:val="4"/>
        <w:spacing w:before="220" w:after="100" w:line="360" w:lineRule="auto"/>
      </w:pPr>
      <w:bookmarkStart w:id="4" w:name="_Toc30533"/>
      <w:r>
        <w:rPr>
          <w:rFonts w:ascii="Arial" w:hAnsi="Arial" w:eastAsia="黑体"/>
          <w:b/>
          <w:i w:val="0"/>
          <w:color w:val="000000"/>
          <w:sz w:val="28"/>
        </w:rPr>
        <w:t>1.4　设计目标与技术方向</w:t>
      </w:r>
      <w:bookmarkEnd w:id="4"/>
    </w:p>
    <w:p w14:paraId="2C5A98A2">
      <w:pPr>
        <w:spacing w:before="0" w:after="0" w:line="360" w:lineRule="auto"/>
        <w:ind w:firstLine="480" w:firstLineChars="200"/>
        <w:jc w:val="both"/>
      </w:pPr>
      <w:r>
        <w:rPr>
          <w:rFonts w:ascii="Times New Roman" w:hAnsi="Times New Roman" w:eastAsia="宋体"/>
          <w:b w:val="0"/>
          <w:i w:val="0"/>
          <w:color w:val="000000"/>
          <w:sz w:val="24"/>
        </w:rPr>
        <w:t>本课题总体目标是：面向工业燃气轮机电站的运行优化与排放管控场景，构建完整 B/S 架构的可运行演示系统，实现排放浓度精准预测、运行参数智能寻优、工况异常早期预警三大核心功能，解决传统运行调参依赖经验、排放控制滞后、工况优化效率低的问题。选题覆盖三个课程核心技术方向，其映射关系如表1-1所示。</w:t>
      </w:r>
    </w:p>
    <w:p w14:paraId="4729AA7D">
      <w:pPr>
        <w:spacing w:before="80" w:after="80" w:line="240" w:lineRule="auto"/>
        <w:jc w:val="center"/>
      </w:pPr>
      <w:r>
        <w:rPr>
          <w:rFonts w:ascii="Times New Roman" w:hAnsi="Times New Roman" w:eastAsia="宋体"/>
          <w:b/>
          <w:i w:val="0"/>
          <w:color w:val="000000"/>
          <w:sz w:val="21"/>
        </w:rPr>
        <w:t>表1-1　课程技术方向与系统功能映射表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2041"/>
        <w:gridCol w:w="1701"/>
        <w:gridCol w:w="4025"/>
      </w:tblGrid>
      <w:tr w14:paraId="50EA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7" w:type="dxa"/>
            <w:shd w:val="clear" w:color="auto" w:fill="F2F2F2"/>
            <w:vAlign w:val="center"/>
          </w:tcPr>
          <w:p w14:paraId="61000EB9">
            <w:pPr>
              <w:spacing w:before="20" w:after="20" w:line="240" w:lineRule="auto"/>
              <w:jc w:val="center"/>
            </w:pPr>
            <w:r>
              <w:rPr>
                <w:rFonts w:ascii="Times New Roman" w:hAnsi="Times New Roman" w:eastAsia="宋体"/>
                <w:b/>
                <w:i w:val="0"/>
                <w:color w:val="000000"/>
                <w:sz w:val="21"/>
              </w:rPr>
              <w:t>序号</w:t>
            </w:r>
          </w:p>
        </w:tc>
        <w:tc>
          <w:tcPr>
            <w:tcW w:w="2041" w:type="dxa"/>
            <w:shd w:val="clear" w:color="auto" w:fill="F2F2F2"/>
            <w:vAlign w:val="center"/>
          </w:tcPr>
          <w:p w14:paraId="5DBC242F">
            <w:pPr>
              <w:spacing w:before="20" w:after="20" w:line="240" w:lineRule="auto"/>
              <w:jc w:val="center"/>
            </w:pPr>
            <w:r>
              <w:rPr>
                <w:rFonts w:ascii="Times New Roman" w:hAnsi="Times New Roman" w:eastAsia="宋体"/>
                <w:b/>
                <w:i w:val="0"/>
                <w:color w:val="000000"/>
                <w:sz w:val="21"/>
              </w:rPr>
              <w:t>课程技术方向</w:t>
            </w:r>
          </w:p>
        </w:tc>
        <w:tc>
          <w:tcPr>
            <w:tcW w:w="1701" w:type="dxa"/>
            <w:shd w:val="clear" w:color="auto" w:fill="F2F2F2"/>
            <w:vAlign w:val="center"/>
          </w:tcPr>
          <w:p w14:paraId="43C36A71">
            <w:pPr>
              <w:spacing w:before="20" w:after="20" w:line="240" w:lineRule="auto"/>
              <w:jc w:val="center"/>
            </w:pPr>
            <w:r>
              <w:rPr>
                <w:rFonts w:ascii="Times New Roman" w:hAnsi="Times New Roman" w:eastAsia="宋体"/>
                <w:b/>
                <w:i w:val="0"/>
                <w:color w:val="000000"/>
                <w:sz w:val="21"/>
              </w:rPr>
              <w:t>核心方法</w:t>
            </w:r>
          </w:p>
        </w:tc>
        <w:tc>
          <w:tcPr>
            <w:tcW w:w="4025" w:type="dxa"/>
            <w:shd w:val="clear" w:color="auto" w:fill="F2F2F2"/>
            <w:vAlign w:val="center"/>
          </w:tcPr>
          <w:p w14:paraId="0D93C5CB">
            <w:pPr>
              <w:spacing w:before="20" w:after="20" w:line="240" w:lineRule="auto"/>
              <w:jc w:val="center"/>
            </w:pPr>
            <w:r>
              <w:rPr>
                <w:rFonts w:ascii="Times New Roman" w:hAnsi="Times New Roman" w:eastAsia="宋体"/>
                <w:b/>
                <w:i w:val="0"/>
                <w:color w:val="000000"/>
                <w:sz w:val="21"/>
              </w:rPr>
              <w:t>在系统中的作用</w:t>
            </w:r>
          </w:p>
        </w:tc>
      </w:tr>
      <w:tr w14:paraId="7210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4FA65A4E">
            <w:pPr>
              <w:spacing w:before="20" w:after="20" w:line="240" w:lineRule="auto"/>
              <w:jc w:val="center"/>
            </w:pPr>
            <w:r>
              <w:rPr>
                <w:rFonts w:ascii="Times New Roman" w:hAnsi="Times New Roman" w:eastAsia="宋体"/>
                <w:b w:val="0"/>
                <w:i w:val="0"/>
                <w:color w:val="000000"/>
                <w:sz w:val="21"/>
              </w:rPr>
              <w:t>1</w:t>
            </w:r>
          </w:p>
        </w:tc>
        <w:tc>
          <w:tcPr>
            <w:tcW w:w="2041" w:type="dxa"/>
            <w:vAlign w:val="center"/>
          </w:tcPr>
          <w:p w14:paraId="6B2714FD">
            <w:pPr>
              <w:spacing w:before="20" w:after="20" w:line="240" w:lineRule="auto"/>
              <w:jc w:val="center"/>
            </w:pPr>
            <w:r>
              <w:rPr>
                <w:rFonts w:ascii="Times New Roman" w:hAnsi="Times New Roman" w:eastAsia="宋体"/>
                <w:b w:val="0"/>
                <w:i w:val="0"/>
                <w:color w:val="000000"/>
                <w:sz w:val="21"/>
              </w:rPr>
              <w:t>监督学习、回归分析</w:t>
            </w:r>
          </w:p>
        </w:tc>
        <w:tc>
          <w:tcPr>
            <w:tcW w:w="1701" w:type="dxa"/>
            <w:vAlign w:val="center"/>
          </w:tcPr>
          <w:p w14:paraId="60A8D020">
            <w:pPr>
              <w:spacing w:before="20" w:after="20" w:line="240" w:lineRule="auto"/>
              <w:jc w:val="center"/>
            </w:pPr>
            <w:r>
              <w:rPr>
                <w:rFonts w:ascii="Times New Roman" w:hAnsi="Times New Roman" w:eastAsia="宋体"/>
                <w:b w:val="0"/>
                <w:i w:val="0"/>
                <w:color w:val="000000"/>
                <w:sz w:val="21"/>
              </w:rPr>
              <w:t>XGBoost 回归</w:t>
            </w:r>
          </w:p>
        </w:tc>
        <w:tc>
          <w:tcPr>
            <w:tcW w:w="4025" w:type="dxa"/>
            <w:vAlign w:val="center"/>
          </w:tcPr>
          <w:p w14:paraId="68C7FDA6">
            <w:pPr>
              <w:spacing w:before="20" w:after="20" w:line="240" w:lineRule="auto"/>
              <w:jc w:val="left"/>
            </w:pPr>
            <w:r>
              <w:rPr>
                <w:rFonts w:ascii="Times New Roman" w:hAnsi="Times New Roman" w:eastAsia="宋体"/>
                <w:b w:val="0"/>
                <w:i w:val="0"/>
                <w:color w:val="000000"/>
                <w:sz w:val="21"/>
              </w:rPr>
              <w:t>由运行参数预测 TEY、CO、NOx，支撑达标评估</w:t>
            </w:r>
          </w:p>
        </w:tc>
      </w:tr>
      <w:tr w14:paraId="744B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3F572F4C">
            <w:pPr>
              <w:spacing w:before="20" w:after="20" w:line="240" w:lineRule="auto"/>
              <w:jc w:val="center"/>
            </w:pPr>
            <w:r>
              <w:rPr>
                <w:rFonts w:ascii="Times New Roman" w:hAnsi="Times New Roman" w:eastAsia="宋体"/>
                <w:b w:val="0"/>
                <w:i w:val="0"/>
                <w:color w:val="000000"/>
                <w:sz w:val="21"/>
              </w:rPr>
              <w:t>2</w:t>
            </w:r>
          </w:p>
        </w:tc>
        <w:tc>
          <w:tcPr>
            <w:tcW w:w="2041" w:type="dxa"/>
            <w:vAlign w:val="center"/>
          </w:tcPr>
          <w:p w14:paraId="0B099CA6">
            <w:pPr>
              <w:spacing w:before="20" w:after="20" w:line="240" w:lineRule="auto"/>
              <w:jc w:val="center"/>
            </w:pPr>
            <w:r>
              <w:rPr>
                <w:rFonts w:ascii="Times New Roman" w:hAnsi="Times New Roman" w:eastAsia="宋体"/>
                <w:b w:val="0"/>
                <w:i w:val="0"/>
                <w:color w:val="000000"/>
                <w:sz w:val="21"/>
              </w:rPr>
              <w:t>智能优化算法</w:t>
            </w:r>
          </w:p>
        </w:tc>
        <w:tc>
          <w:tcPr>
            <w:tcW w:w="1701" w:type="dxa"/>
            <w:vAlign w:val="center"/>
          </w:tcPr>
          <w:p w14:paraId="7DEF5FAB">
            <w:pPr>
              <w:spacing w:before="20" w:after="20" w:line="240" w:lineRule="auto"/>
              <w:jc w:val="center"/>
            </w:pPr>
            <w:r>
              <w:rPr>
                <w:rFonts w:ascii="Times New Roman" w:hAnsi="Times New Roman" w:eastAsia="宋体"/>
                <w:b w:val="0"/>
                <w:i w:val="0"/>
                <w:color w:val="000000"/>
                <w:sz w:val="21"/>
              </w:rPr>
              <w:t>粒子群优化 PSO</w:t>
            </w:r>
          </w:p>
        </w:tc>
        <w:tc>
          <w:tcPr>
            <w:tcW w:w="4025" w:type="dxa"/>
            <w:vAlign w:val="center"/>
          </w:tcPr>
          <w:p w14:paraId="4172A573">
            <w:pPr>
              <w:spacing w:before="20" w:after="20" w:line="240" w:lineRule="auto"/>
              <w:jc w:val="left"/>
            </w:pPr>
            <w:r>
              <w:rPr>
                <w:rFonts w:ascii="Times New Roman" w:hAnsi="Times New Roman" w:eastAsia="宋体"/>
                <w:b w:val="0"/>
                <w:i w:val="0"/>
                <w:color w:val="000000"/>
                <w:sz w:val="21"/>
              </w:rPr>
              <w:t>排放达标约束下最大化能量产出，自动寻优参数</w:t>
            </w:r>
          </w:p>
        </w:tc>
      </w:tr>
      <w:tr w14:paraId="29A8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6A6ADF0F">
            <w:pPr>
              <w:spacing w:before="20" w:after="20" w:line="240" w:lineRule="auto"/>
              <w:jc w:val="center"/>
            </w:pPr>
            <w:r>
              <w:rPr>
                <w:rFonts w:ascii="Times New Roman" w:hAnsi="Times New Roman" w:eastAsia="宋体"/>
                <w:b w:val="0"/>
                <w:i w:val="0"/>
                <w:color w:val="000000"/>
                <w:sz w:val="21"/>
              </w:rPr>
              <w:t>3</w:t>
            </w:r>
          </w:p>
        </w:tc>
        <w:tc>
          <w:tcPr>
            <w:tcW w:w="2041" w:type="dxa"/>
            <w:vAlign w:val="center"/>
          </w:tcPr>
          <w:p w14:paraId="1884CDD1">
            <w:pPr>
              <w:spacing w:before="20" w:after="20" w:line="240" w:lineRule="auto"/>
              <w:jc w:val="center"/>
            </w:pPr>
            <w:r>
              <w:rPr>
                <w:rFonts w:ascii="Times New Roman" w:hAnsi="Times New Roman" w:eastAsia="宋体"/>
                <w:b w:val="0"/>
                <w:i w:val="0"/>
                <w:color w:val="000000"/>
                <w:sz w:val="21"/>
              </w:rPr>
              <w:t>无监督学习、异常检测</w:t>
            </w:r>
          </w:p>
        </w:tc>
        <w:tc>
          <w:tcPr>
            <w:tcW w:w="1701" w:type="dxa"/>
            <w:vAlign w:val="center"/>
          </w:tcPr>
          <w:p w14:paraId="6AF059D4">
            <w:pPr>
              <w:spacing w:before="20" w:after="20" w:line="240" w:lineRule="auto"/>
              <w:jc w:val="center"/>
            </w:pPr>
            <w:r>
              <w:rPr>
                <w:rFonts w:ascii="Times New Roman" w:hAnsi="Times New Roman" w:eastAsia="宋体"/>
                <w:b w:val="0"/>
                <w:i w:val="0"/>
                <w:color w:val="000000"/>
                <w:sz w:val="21"/>
              </w:rPr>
              <w:t>孤立森林</w:t>
            </w:r>
          </w:p>
        </w:tc>
        <w:tc>
          <w:tcPr>
            <w:tcW w:w="4025" w:type="dxa"/>
            <w:vAlign w:val="center"/>
          </w:tcPr>
          <w:p w14:paraId="039798AC">
            <w:pPr>
              <w:spacing w:before="20" w:after="20" w:line="240" w:lineRule="auto"/>
              <w:jc w:val="left"/>
            </w:pPr>
            <w:r>
              <w:rPr>
                <w:rFonts w:ascii="Times New Roman" w:hAnsi="Times New Roman" w:eastAsia="宋体"/>
                <w:b w:val="0"/>
                <w:i w:val="0"/>
                <w:color w:val="000000"/>
                <w:sz w:val="21"/>
              </w:rPr>
              <w:t>构建正常工况基准，识别异常并分级预警</w:t>
            </w:r>
          </w:p>
        </w:tc>
      </w:tr>
    </w:tbl>
    <w:p w14:paraId="6DEEC670">
      <w:pPr>
        <w:spacing w:after="40" w:line="240" w:lineRule="auto"/>
      </w:pPr>
    </w:p>
    <w:p w14:paraId="10C54FB3">
      <w:pPr>
        <w:spacing w:before="0" w:after="0" w:line="360" w:lineRule="auto"/>
        <w:ind w:firstLine="480" w:firstLineChars="200"/>
        <w:jc w:val="both"/>
      </w:pPr>
      <w:r>
        <w:rPr>
          <w:rFonts w:ascii="Times New Roman" w:hAnsi="Times New Roman" w:eastAsia="宋体"/>
          <w:b w:val="0"/>
          <w:i w:val="0"/>
          <w:color w:val="000000"/>
          <w:sz w:val="24"/>
        </w:rPr>
        <w:t>在上述目标下，系统还需满足：实现完整的前端 UI、后端服务、数据库、算法模块四层结构；完成数据集整理、模型训练、系统开发与集成调试，形成可现场演示的功能原型；全程规范使用 Git 版本控制并保留完整的 AI 协作开发档案。</w:t>
      </w:r>
    </w:p>
    <w:p w14:paraId="3A59C184">
      <w:pPr>
        <w:pStyle w:val="4"/>
        <w:spacing w:before="220" w:after="100" w:line="360" w:lineRule="auto"/>
      </w:pPr>
      <w:bookmarkStart w:id="5" w:name="_Toc6173"/>
      <w:r>
        <w:rPr>
          <w:rFonts w:ascii="Arial" w:hAnsi="Arial" w:eastAsia="黑体"/>
          <w:b/>
          <w:i w:val="0"/>
          <w:color w:val="000000"/>
          <w:sz w:val="28"/>
        </w:rPr>
        <w:t>1.5　报告组织结构</w:t>
      </w:r>
      <w:bookmarkEnd w:id="5"/>
    </w:p>
    <w:p w14:paraId="6186234A">
      <w:pPr>
        <w:spacing w:before="0" w:after="0" w:line="360" w:lineRule="auto"/>
        <w:ind w:firstLine="480" w:firstLineChars="200"/>
        <w:jc w:val="both"/>
      </w:pPr>
      <w:r>
        <w:rPr>
          <w:rFonts w:ascii="Times New Roman" w:hAnsi="Times New Roman" w:eastAsia="宋体"/>
          <w:b w:val="0"/>
          <w:i w:val="0"/>
          <w:color w:val="000000"/>
          <w:sz w:val="24"/>
        </w:rPr>
        <w:t>本报告共分七章。第1章为绪论，介绍研究背景、意义与技术现状；第2章为系统方案设计；第3章为数据资源构建；第4章为系统实现，分别阐述后端、数据库、三个算法模块与前端的实现细节；第5章为测试与集成调试；第6章为 AI 工具使用披露；第7章为总结与展望。</w:t>
      </w:r>
    </w:p>
    <w:p w14:paraId="1BF8D849">
      <w:r>
        <w:br w:type="page"/>
      </w:r>
    </w:p>
    <w:p w14:paraId="023F88F4">
      <w:pPr>
        <w:pStyle w:val="3"/>
        <w:spacing w:before="280" w:after="120" w:line="360" w:lineRule="auto"/>
      </w:pPr>
      <w:bookmarkStart w:id="6" w:name="_Toc7873"/>
      <w:r>
        <w:rPr>
          <w:rFonts w:ascii="Arial" w:hAnsi="Arial" w:eastAsia="黑体"/>
          <w:b/>
          <w:i w:val="0"/>
          <w:color w:val="000000"/>
          <w:sz w:val="32"/>
        </w:rPr>
        <w:t>第2章　系统方案设计</w:t>
      </w:r>
      <w:bookmarkEnd w:id="6"/>
    </w:p>
    <w:p w14:paraId="4D51C1A8">
      <w:pPr>
        <w:pStyle w:val="4"/>
        <w:spacing w:before="220" w:after="100" w:line="360" w:lineRule="auto"/>
      </w:pPr>
      <w:bookmarkStart w:id="7" w:name="_Toc29249"/>
      <w:r>
        <w:rPr>
          <w:rFonts w:ascii="Arial" w:hAnsi="Arial" w:eastAsia="黑体"/>
          <w:b/>
          <w:i w:val="0"/>
          <w:color w:val="000000"/>
          <w:sz w:val="28"/>
        </w:rPr>
        <w:t>2.1　需求分析</w:t>
      </w:r>
      <w:bookmarkEnd w:id="7"/>
    </w:p>
    <w:p w14:paraId="387CFFA6">
      <w:pPr>
        <w:spacing w:before="0" w:after="0" w:line="360" w:lineRule="auto"/>
        <w:ind w:firstLine="480" w:firstLineChars="200"/>
        <w:jc w:val="both"/>
      </w:pPr>
      <w:r>
        <w:rPr>
          <w:rFonts w:ascii="Times New Roman" w:hAnsi="Times New Roman" w:eastAsia="宋体"/>
          <w:b w:val="0"/>
          <w:i w:val="0"/>
          <w:color w:val="000000"/>
          <w:sz w:val="24"/>
        </w:rPr>
        <w:t>围绕燃气轮机运行优化与排放管控业务，系统需要走通“参数输入—排放预测—参数优化—异常预警—结果展示—存档追溯”的完整业务闭环。从交互角度，前端需支持运行参数录入、排放预测结果与等级展示、优化目标与方案对比、工况状态监测与历史记录查询；从业务角度，后端需完成算法调度、排放等级判定、优化方案解析、预警分级与记录管理；从算法角度，需分别实现排放回归预测、约束参数寻优与无监督异常检测；从数据角度，需存储设备额定参数、运行与优化记录、异常预警日志，并管理训练数据集。</w:t>
      </w:r>
    </w:p>
    <w:p w14:paraId="03493689">
      <w:pPr>
        <w:pStyle w:val="4"/>
        <w:spacing w:before="220" w:after="100" w:line="360" w:lineRule="auto"/>
      </w:pPr>
      <w:bookmarkStart w:id="8" w:name="_Toc6316"/>
      <w:r>
        <w:rPr>
          <w:rFonts w:ascii="Arial" w:hAnsi="Arial" w:eastAsia="黑体"/>
          <w:b/>
          <w:i w:val="0"/>
          <w:color w:val="000000"/>
          <w:sz w:val="28"/>
        </w:rPr>
        <w:t>2.2　总体架构设计</w:t>
      </w:r>
      <w:bookmarkEnd w:id="8"/>
    </w:p>
    <w:p w14:paraId="68EEB15E">
      <w:pPr>
        <w:spacing w:before="0" w:after="0" w:line="360" w:lineRule="auto"/>
        <w:ind w:firstLine="480" w:firstLineChars="200"/>
        <w:jc w:val="both"/>
      </w:pPr>
      <w:r>
        <w:rPr>
          <w:rFonts w:ascii="Times New Roman" w:hAnsi="Times New Roman" w:eastAsia="宋体"/>
          <w:b w:val="0"/>
          <w:i w:val="0"/>
          <w:color w:val="000000"/>
          <w:sz w:val="24"/>
        </w:rPr>
        <w:t>系统采用标准 B/S（浏览器/服务器）四层架构，自上而下依次为前端展示层、后端服务层、算法模块层与数据持久层，各层职责清晰、相互解耦，支持分模块开发与逐步验证。总体架构如表2-1所示。</w:t>
      </w:r>
    </w:p>
    <w:p w14:paraId="2EEA4499">
      <w:pPr>
        <w:spacing w:before="80" w:after="80" w:line="240" w:lineRule="auto"/>
        <w:jc w:val="center"/>
      </w:pPr>
      <w:r>
        <w:rPr>
          <w:rFonts w:ascii="Times New Roman" w:hAnsi="Times New Roman" w:eastAsia="宋体"/>
          <w:b/>
          <w:i w:val="0"/>
          <w:color w:val="000000"/>
          <w:sz w:val="21"/>
        </w:rPr>
        <w:t>表2-1　系统四层架构与职责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948"/>
        <w:gridCol w:w="4082"/>
      </w:tblGrid>
      <w:tr w14:paraId="53EB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F2F2F2"/>
            <w:vAlign w:val="center"/>
          </w:tcPr>
          <w:p w14:paraId="32F9DDCE">
            <w:pPr>
              <w:spacing w:before="20" w:after="20" w:line="240" w:lineRule="auto"/>
              <w:jc w:val="center"/>
            </w:pPr>
            <w:r>
              <w:rPr>
                <w:rFonts w:ascii="Times New Roman" w:hAnsi="Times New Roman" w:eastAsia="宋体"/>
                <w:b/>
                <w:i w:val="0"/>
                <w:color w:val="000000"/>
                <w:sz w:val="21"/>
              </w:rPr>
              <w:t>层次</w:t>
            </w:r>
          </w:p>
        </w:tc>
        <w:tc>
          <w:tcPr>
            <w:tcW w:w="2948" w:type="dxa"/>
            <w:shd w:val="clear" w:color="auto" w:fill="F2F2F2"/>
            <w:vAlign w:val="center"/>
          </w:tcPr>
          <w:p w14:paraId="362F0E44">
            <w:pPr>
              <w:spacing w:before="20" w:after="20" w:line="240" w:lineRule="auto"/>
              <w:jc w:val="center"/>
            </w:pPr>
            <w:r>
              <w:rPr>
                <w:rFonts w:ascii="Times New Roman" w:hAnsi="Times New Roman" w:eastAsia="宋体"/>
                <w:b/>
                <w:i w:val="0"/>
                <w:color w:val="000000"/>
                <w:sz w:val="21"/>
              </w:rPr>
              <w:t>技术实现</w:t>
            </w:r>
          </w:p>
        </w:tc>
        <w:tc>
          <w:tcPr>
            <w:tcW w:w="4082" w:type="dxa"/>
            <w:shd w:val="clear" w:color="auto" w:fill="F2F2F2"/>
            <w:vAlign w:val="center"/>
          </w:tcPr>
          <w:p w14:paraId="3B64DF4B">
            <w:pPr>
              <w:spacing w:before="20" w:after="20" w:line="240" w:lineRule="auto"/>
              <w:jc w:val="center"/>
            </w:pPr>
            <w:r>
              <w:rPr>
                <w:rFonts w:ascii="Times New Roman" w:hAnsi="Times New Roman" w:eastAsia="宋体"/>
                <w:b/>
                <w:i w:val="0"/>
                <w:color w:val="000000"/>
                <w:sz w:val="21"/>
              </w:rPr>
              <w:t>主要职责</w:t>
            </w:r>
          </w:p>
        </w:tc>
      </w:tr>
      <w:tr w14:paraId="28CC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0356E0D4">
            <w:pPr>
              <w:spacing w:before="20" w:after="20" w:line="240" w:lineRule="auto"/>
              <w:jc w:val="center"/>
            </w:pPr>
            <w:r>
              <w:rPr>
                <w:rFonts w:ascii="Times New Roman" w:hAnsi="Times New Roman" w:eastAsia="宋体"/>
                <w:b w:val="0"/>
                <w:i w:val="0"/>
                <w:color w:val="000000"/>
                <w:sz w:val="21"/>
              </w:rPr>
              <w:t>前端展示层</w:t>
            </w:r>
          </w:p>
        </w:tc>
        <w:tc>
          <w:tcPr>
            <w:tcW w:w="2948" w:type="dxa"/>
            <w:vAlign w:val="center"/>
          </w:tcPr>
          <w:p w14:paraId="1786F93C">
            <w:pPr>
              <w:spacing w:before="20" w:after="20" w:line="240" w:lineRule="auto"/>
              <w:jc w:val="left"/>
            </w:pPr>
            <w:r>
              <w:rPr>
                <w:rFonts w:ascii="Times New Roman" w:hAnsi="Times New Roman" w:eastAsia="宋体"/>
                <w:b w:val="0"/>
                <w:i w:val="0"/>
                <w:color w:val="000000"/>
                <w:sz w:val="21"/>
              </w:rPr>
              <w:t>Vue3 + Element Plus + ECharts</w:t>
            </w:r>
          </w:p>
        </w:tc>
        <w:tc>
          <w:tcPr>
            <w:tcW w:w="4082" w:type="dxa"/>
            <w:vAlign w:val="center"/>
          </w:tcPr>
          <w:p w14:paraId="29C8C04C">
            <w:pPr>
              <w:spacing w:before="20" w:after="20" w:line="240" w:lineRule="auto"/>
              <w:jc w:val="left"/>
            </w:pPr>
            <w:r>
              <w:rPr>
                <w:rFonts w:ascii="Times New Roman" w:hAnsi="Times New Roman" w:eastAsia="宋体"/>
                <w:b w:val="0"/>
                <w:i w:val="0"/>
                <w:color w:val="000000"/>
                <w:sz w:val="21"/>
              </w:rPr>
              <w:t>四个业务页面、表单交互、图表可视化、接口调用</w:t>
            </w:r>
          </w:p>
        </w:tc>
      </w:tr>
      <w:tr w14:paraId="23C7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6CF75C7E">
            <w:pPr>
              <w:spacing w:before="20" w:after="20" w:line="240" w:lineRule="auto"/>
              <w:jc w:val="center"/>
            </w:pPr>
            <w:r>
              <w:rPr>
                <w:rFonts w:ascii="Times New Roman" w:hAnsi="Times New Roman" w:eastAsia="宋体"/>
                <w:b w:val="0"/>
                <w:i w:val="0"/>
                <w:color w:val="000000"/>
                <w:sz w:val="21"/>
              </w:rPr>
              <w:t>后端服务层</w:t>
            </w:r>
          </w:p>
        </w:tc>
        <w:tc>
          <w:tcPr>
            <w:tcW w:w="2948" w:type="dxa"/>
            <w:vAlign w:val="center"/>
          </w:tcPr>
          <w:p w14:paraId="53CBE280">
            <w:pPr>
              <w:spacing w:before="20" w:after="20" w:line="240" w:lineRule="auto"/>
              <w:jc w:val="left"/>
            </w:pPr>
            <w:r>
              <w:rPr>
                <w:rFonts w:ascii="Times New Roman" w:hAnsi="Times New Roman" w:eastAsia="宋体"/>
                <w:b w:val="0"/>
                <w:i w:val="0"/>
                <w:color w:val="000000"/>
                <w:sz w:val="21"/>
              </w:rPr>
              <w:t>Python Flask</w:t>
            </w:r>
          </w:p>
        </w:tc>
        <w:tc>
          <w:tcPr>
            <w:tcW w:w="4082" w:type="dxa"/>
            <w:vAlign w:val="center"/>
          </w:tcPr>
          <w:p w14:paraId="279C09CC">
            <w:pPr>
              <w:spacing w:before="20" w:after="20" w:line="240" w:lineRule="auto"/>
              <w:jc w:val="left"/>
            </w:pPr>
            <w:r>
              <w:rPr>
                <w:rFonts w:ascii="Times New Roman" w:hAnsi="Times New Roman" w:eastAsia="宋体"/>
                <w:b w:val="0"/>
                <w:i w:val="0"/>
                <w:color w:val="000000"/>
                <w:sz w:val="21"/>
              </w:rPr>
              <w:t>RESTful API、参数校验、业务编排、等级与预警判定</w:t>
            </w:r>
          </w:p>
        </w:tc>
      </w:tr>
      <w:tr w14:paraId="2CA9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0725BE0D">
            <w:pPr>
              <w:spacing w:before="20" w:after="20" w:line="240" w:lineRule="auto"/>
              <w:jc w:val="center"/>
            </w:pPr>
            <w:r>
              <w:rPr>
                <w:rFonts w:ascii="Times New Roman" w:hAnsi="Times New Roman" w:eastAsia="宋体"/>
                <w:b w:val="0"/>
                <w:i w:val="0"/>
                <w:color w:val="000000"/>
                <w:sz w:val="21"/>
              </w:rPr>
              <w:t>算法模块层</w:t>
            </w:r>
          </w:p>
        </w:tc>
        <w:tc>
          <w:tcPr>
            <w:tcW w:w="2948" w:type="dxa"/>
            <w:vAlign w:val="center"/>
          </w:tcPr>
          <w:p w14:paraId="7796DA06">
            <w:pPr>
              <w:spacing w:before="20" w:after="20" w:line="240" w:lineRule="auto"/>
              <w:jc w:val="left"/>
            </w:pPr>
            <w:r>
              <w:rPr>
                <w:rFonts w:ascii="Times New Roman" w:hAnsi="Times New Roman" w:eastAsia="宋体"/>
                <w:b w:val="0"/>
                <w:i w:val="0"/>
                <w:color w:val="000000"/>
                <w:sz w:val="21"/>
              </w:rPr>
              <w:t>XGBoost / 自实现 PSO / 孤立森林</w:t>
            </w:r>
          </w:p>
        </w:tc>
        <w:tc>
          <w:tcPr>
            <w:tcW w:w="4082" w:type="dxa"/>
            <w:vAlign w:val="center"/>
          </w:tcPr>
          <w:p w14:paraId="4C7375B8">
            <w:pPr>
              <w:spacing w:before="20" w:after="20" w:line="240" w:lineRule="auto"/>
              <w:jc w:val="left"/>
            </w:pPr>
            <w:r>
              <w:rPr>
                <w:rFonts w:ascii="Times New Roman" w:hAnsi="Times New Roman" w:eastAsia="宋体"/>
                <w:b w:val="0"/>
                <w:i w:val="0"/>
                <w:color w:val="000000"/>
                <w:sz w:val="21"/>
              </w:rPr>
              <w:t>排放预测、参数寻优、异常检测三类智能计算</w:t>
            </w:r>
          </w:p>
        </w:tc>
      </w:tr>
      <w:tr w14:paraId="2B04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5F546B9">
            <w:pPr>
              <w:spacing w:before="20" w:after="20" w:line="240" w:lineRule="auto"/>
              <w:jc w:val="center"/>
            </w:pPr>
            <w:r>
              <w:rPr>
                <w:rFonts w:ascii="Times New Roman" w:hAnsi="Times New Roman" w:eastAsia="宋体"/>
                <w:b w:val="0"/>
                <w:i w:val="0"/>
                <w:color w:val="000000"/>
                <w:sz w:val="21"/>
              </w:rPr>
              <w:t>数据持久层</w:t>
            </w:r>
          </w:p>
        </w:tc>
        <w:tc>
          <w:tcPr>
            <w:tcW w:w="2948" w:type="dxa"/>
            <w:vAlign w:val="center"/>
          </w:tcPr>
          <w:p w14:paraId="67B939C8">
            <w:pPr>
              <w:spacing w:before="20" w:after="20" w:line="240" w:lineRule="auto"/>
              <w:jc w:val="left"/>
            </w:pPr>
            <w:r>
              <w:rPr>
                <w:rFonts w:ascii="Times New Roman" w:hAnsi="Times New Roman" w:eastAsia="宋体"/>
                <w:b w:val="0"/>
                <w:i w:val="0"/>
                <w:color w:val="000000"/>
                <w:sz w:val="21"/>
              </w:rPr>
              <w:t>MySQL 8.0（降级 SQLite）</w:t>
            </w:r>
          </w:p>
        </w:tc>
        <w:tc>
          <w:tcPr>
            <w:tcW w:w="4082" w:type="dxa"/>
            <w:vAlign w:val="center"/>
          </w:tcPr>
          <w:p w14:paraId="51C601E1">
            <w:pPr>
              <w:spacing w:before="20" w:after="20" w:line="240" w:lineRule="auto"/>
              <w:jc w:val="left"/>
            </w:pPr>
            <w:r>
              <w:rPr>
                <w:rFonts w:ascii="Times New Roman" w:hAnsi="Times New Roman" w:eastAsia="宋体"/>
                <w:b w:val="0"/>
                <w:i w:val="0"/>
                <w:color w:val="000000"/>
                <w:sz w:val="21"/>
              </w:rPr>
              <w:t>设备信息、运行记录、异常日志的存储与查询</w:t>
            </w:r>
          </w:p>
        </w:tc>
      </w:tr>
    </w:tbl>
    <w:p w14:paraId="57889D61">
      <w:pPr>
        <w:spacing w:after="40" w:line="240" w:lineRule="auto"/>
      </w:pPr>
    </w:p>
    <w:p w14:paraId="46D52EE9">
      <w:pPr>
        <w:spacing w:before="0" w:after="0" w:line="360" w:lineRule="auto"/>
        <w:ind w:firstLine="480" w:firstLineChars="200"/>
        <w:jc w:val="both"/>
      </w:pPr>
      <w:r>
        <w:rPr>
          <w:rFonts w:ascii="Times New Roman" w:hAnsi="Times New Roman" w:eastAsia="宋体"/>
          <w:b w:val="0"/>
          <w:i w:val="0"/>
          <w:color w:val="000000"/>
          <w:sz w:val="24"/>
        </w:rPr>
        <w:t>前端通过 axios 以 RESTful 风格调用后端接口，开发阶段由 Vite 将 /api 请求代理至后端 5000 端口，实现前后端分离开发与跨域解耦；后端业务服务层统一编排算法模块与数据库，算法模块以单例方式加载训练好的模型文件，避免重复加载开销。</w:t>
      </w:r>
    </w:p>
    <w:p w14:paraId="31442188">
      <w:pPr>
        <w:pStyle w:val="4"/>
        <w:spacing w:before="220" w:after="100" w:line="360" w:lineRule="auto"/>
      </w:pPr>
      <w:bookmarkStart w:id="9" w:name="_Toc32023"/>
      <w:r>
        <w:rPr>
          <w:rFonts w:ascii="Arial" w:hAnsi="Arial" w:eastAsia="黑体"/>
          <w:b/>
          <w:i w:val="0"/>
          <w:color w:val="000000"/>
          <w:sz w:val="28"/>
        </w:rPr>
        <w:t>2.3　技术栈选型</w:t>
      </w:r>
      <w:bookmarkEnd w:id="9"/>
    </w:p>
    <w:p w14:paraId="2FA88203">
      <w:pPr>
        <w:spacing w:before="0" w:after="0" w:line="360" w:lineRule="auto"/>
        <w:ind w:firstLine="480" w:firstLineChars="200"/>
        <w:jc w:val="both"/>
      </w:pPr>
      <w:r>
        <w:rPr>
          <w:rFonts w:ascii="Times New Roman" w:hAnsi="Times New Roman" w:eastAsia="宋体"/>
          <w:b w:val="0"/>
          <w:i w:val="0"/>
          <w:color w:val="000000"/>
          <w:sz w:val="24"/>
        </w:rPr>
        <w:t>技术选型兼顾成熟度、开发效率与课程技术方向覆盖，具体如表2-2所示。</w:t>
      </w:r>
    </w:p>
    <w:p w14:paraId="1F006E3D">
      <w:pPr>
        <w:spacing w:before="80" w:after="80" w:line="240" w:lineRule="auto"/>
        <w:jc w:val="center"/>
      </w:pPr>
      <w:r>
        <w:rPr>
          <w:rFonts w:ascii="Times New Roman" w:hAnsi="Times New Roman" w:eastAsia="宋体"/>
          <w:b/>
          <w:i w:val="0"/>
          <w:color w:val="000000"/>
          <w:sz w:val="21"/>
        </w:rPr>
        <w:t>表2-2　技术栈选型及理由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835"/>
        <w:gridCol w:w="4309"/>
      </w:tblGrid>
      <w:tr w14:paraId="7860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F2F2F2"/>
            <w:vAlign w:val="center"/>
          </w:tcPr>
          <w:p w14:paraId="5D71D883">
            <w:pPr>
              <w:spacing w:before="20" w:after="20" w:line="240" w:lineRule="auto"/>
              <w:jc w:val="center"/>
            </w:pPr>
            <w:r>
              <w:rPr>
                <w:rFonts w:ascii="Times New Roman" w:hAnsi="Times New Roman" w:eastAsia="宋体"/>
                <w:b/>
                <w:i w:val="0"/>
                <w:color w:val="000000"/>
                <w:sz w:val="21"/>
              </w:rPr>
              <w:t>层级</w:t>
            </w:r>
          </w:p>
        </w:tc>
        <w:tc>
          <w:tcPr>
            <w:tcW w:w="2835" w:type="dxa"/>
            <w:shd w:val="clear" w:color="auto" w:fill="F2F2F2"/>
            <w:vAlign w:val="center"/>
          </w:tcPr>
          <w:p w14:paraId="4051C410">
            <w:pPr>
              <w:spacing w:before="20" w:after="20" w:line="240" w:lineRule="auto"/>
              <w:jc w:val="center"/>
            </w:pPr>
            <w:r>
              <w:rPr>
                <w:rFonts w:ascii="Times New Roman" w:hAnsi="Times New Roman" w:eastAsia="宋体"/>
                <w:b/>
                <w:i w:val="0"/>
                <w:color w:val="000000"/>
                <w:sz w:val="21"/>
              </w:rPr>
              <w:t>技术选型</w:t>
            </w:r>
          </w:p>
        </w:tc>
        <w:tc>
          <w:tcPr>
            <w:tcW w:w="4309" w:type="dxa"/>
            <w:shd w:val="clear" w:color="auto" w:fill="F2F2F2"/>
            <w:vAlign w:val="center"/>
          </w:tcPr>
          <w:p w14:paraId="107D60CA">
            <w:pPr>
              <w:spacing w:before="20" w:after="20" w:line="240" w:lineRule="auto"/>
              <w:jc w:val="center"/>
            </w:pPr>
            <w:r>
              <w:rPr>
                <w:rFonts w:ascii="Times New Roman" w:hAnsi="Times New Roman" w:eastAsia="宋体"/>
                <w:b/>
                <w:i w:val="0"/>
                <w:color w:val="000000"/>
                <w:sz w:val="21"/>
              </w:rPr>
              <w:t>选型理由</w:t>
            </w:r>
          </w:p>
        </w:tc>
      </w:tr>
      <w:tr w14:paraId="7B26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2FBF7030">
            <w:pPr>
              <w:spacing w:before="20" w:after="20" w:line="240" w:lineRule="auto"/>
              <w:jc w:val="center"/>
            </w:pPr>
            <w:r>
              <w:rPr>
                <w:rFonts w:ascii="Times New Roman" w:hAnsi="Times New Roman" w:eastAsia="宋体"/>
                <w:b w:val="0"/>
                <w:i w:val="0"/>
                <w:color w:val="000000"/>
                <w:sz w:val="21"/>
              </w:rPr>
              <w:t>前端 UI</w:t>
            </w:r>
          </w:p>
        </w:tc>
        <w:tc>
          <w:tcPr>
            <w:tcW w:w="2835" w:type="dxa"/>
            <w:vAlign w:val="center"/>
          </w:tcPr>
          <w:p w14:paraId="7684A9D3">
            <w:pPr>
              <w:spacing w:before="20" w:after="20" w:line="240" w:lineRule="auto"/>
              <w:jc w:val="left"/>
            </w:pPr>
            <w:r>
              <w:rPr>
                <w:rFonts w:ascii="Times New Roman" w:hAnsi="Times New Roman" w:eastAsia="宋体"/>
                <w:b w:val="0"/>
                <w:i w:val="0"/>
                <w:color w:val="000000"/>
                <w:sz w:val="21"/>
              </w:rPr>
              <w:t>Vue3 + Vite + Element Plus</w:t>
            </w:r>
          </w:p>
        </w:tc>
        <w:tc>
          <w:tcPr>
            <w:tcW w:w="4309" w:type="dxa"/>
            <w:vAlign w:val="center"/>
          </w:tcPr>
          <w:p w14:paraId="2CE52B75">
            <w:pPr>
              <w:spacing w:before="20" w:after="20" w:line="240" w:lineRule="auto"/>
              <w:jc w:val="left"/>
            </w:pPr>
            <w:r>
              <w:rPr>
                <w:rFonts w:ascii="Times New Roman" w:hAnsi="Times New Roman" w:eastAsia="宋体"/>
                <w:b w:val="0"/>
                <w:i w:val="0"/>
                <w:color w:val="000000"/>
                <w:sz w:val="21"/>
              </w:rPr>
              <w:t>组件化、生态成熟，适配快速构建管理类界面</w:t>
            </w:r>
          </w:p>
        </w:tc>
      </w:tr>
      <w:tr w14:paraId="0CD1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22B596D0">
            <w:pPr>
              <w:spacing w:before="20" w:after="20" w:line="240" w:lineRule="auto"/>
              <w:jc w:val="center"/>
            </w:pPr>
            <w:r>
              <w:rPr>
                <w:rFonts w:ascii="Times New Roman" w:hAnsi="Times New Roman" w:eastAsia="宋体"/>
                <w:b w:val="0"/>
                <w:i w:val="0"/>
                <w:color w:val="000000"/>
                <w:sz w:val="21"/>
              </w:rPr>
              <w:t>可视化</w:t>
            </w:r>
          </w:p>
        </w:tc>
        <w:tc>
          <w:tcPr>
            <w:tcW w:w="2835" w:type="dxa"/>
            <w:vAlign w:val="center"/>
          </w:tcPr>
          <w:p w14:paraId="4054F160">
            <w:pPr>
              <w:spacing w:before="20" w:after="20" w:line="240" w:lineRule="auto"/>
              <w:jc w:val="left"/>
            </w:pPr>
            <w:r>
              <w:rPr>
                <w:rFonts w:ascii="Times New Roman" w:hAnsi="Times New Roman" w:eastAsia="宋体"/>
                <w:b w:val="0"/>
                <w:i w:val="0"/>
                <w:color w:val="000000"/>
                <w:sz w:val="21"/>
              </w:rPr>
              <w:t>ECharts 5</w:t>
            </w:r>
          </w:p>
        </w:tc>
        <w:tc>
          <w:tcPr>
            <w:tcW w:w="4309" w:type="dxa"/>
            <w:vAlign w:val="center"/>
          </w:tcPr>
          <w:p w14:paraId="07467D01">
            <w:pPr>
              <w:spacing w:before="20" w:after="20" w:line="240" w:lineRule="auto"/>
              <w:jc w:val="left"/>
            </w:pPr>
            <w:r>
              <w:rPr>
                <w:rFonts w:ascii="Times New Roman" w:hAnsi="Times New Roman" w:eastAsia="宋体"/>
                <w:b w:val="0"/>
                <w:i w:val="0"/>
                <w:color w:val="000000"/>
                <w:sz w:val="21"/>
              </w:rPr>
              <w:t>支持趋势图、雷达图、仪表盘等工业监控图表</w:t>
            </w:r>
          </w:p>
        </w:tc>
      </w:tr>
      <w:tr w14:paraId="4FA6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0993DC1A">
            <w:pPr>
              <w:spacing w:before="20" w:after="20" w:line="240" w:lineRule="auto"/>
              <w:jc w:val="center"/>
            </w:pPr>
            <w:r>
              <w:rPr>
                <w:rFonts w:ascii="Times New Roman" w:hAnsi="Times New Roman" w:eastAsia="宋体"/>
                <w:b w:val="0"/>
                <w:i w:val="0"/>
                <w:color w:val="000000"/>
                <w:sz w:val="21"/>
              </w:rPr>
              <w:t>后端</w:t>
            </w:r>
          </w:p>
        </w:tc>
        <w:tc>
          <w:tcPr>
            <w:tcW w:w="2835" w:type="dxa"/>
            <w:vAlign w:val="center"/>
          </w:tcPr>
          <w:p w14:paraId="3F09C165">
            <w:pPr>
              <w:spacing w:before="20" w:after="20" w:line="240" w:lineRule="auto"/>
              <w:jc w:val="left"/>
            </w:pPr>
            <w:r>
              <w:rPr>
                <w:rFonts w:ascii="Times New Roman" w:hAnsi="Times New Roman" w:eastAsia="宋体"/>
                <w:b w:val="0"/>
                <w:i w:val="0"/>
                <w:color w:val="000000"/>
                <w:sz w:val="21"/>
              </w:rPr>
              <w:t>Python Flask 3</w:t>
            </w:r>
          </w:p>
        </w:tc>
        <w:tc>
          <w:tcPr>
            <w:tcW w:w="4309" w:type="dxa"/>
            <w:vAlign w:val="center"/>
          </w:tcPr>
          <w:p w14:paraId="7FECF20B">
            <w:pPr>
              <w:spacing w:before="20" w:after="20" w:line="240" w:lineRule="auto"/>
              <w:jc w:val="left"/>
            </w:pPr>
            <w:r>
              <w:rPr>
                <w:rFonts w:ascii="Times New Roman" w:hAnsi="Times New Roman" w:eastAsia="宋体"/>
                <w:b w:val="0"/>
                <w:i w:val="0"/>
                <w:color w:val="000000"/>
                <w:sz w:val="21"/>
              </w:rPr>
              <w:t>轻量灵活，Python 生态与机器学习算法无缝衔接</w:t>
            </w:r>
          </w:p>
        </w:tc>
      </w:tr>
      <w:tr w14:paraId="1361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51FDD843">
            <w:pPr>
              <w:spacing w:before="20" w:after="20" w:line="240" w:lineRule="auto"/>
              <w:jc w:val="center"/>
            </w:pPr>
            <w:r>
              <w:rPr>
                <w:rFonts w:ascii="Times New Roman" w:hAnsi="Times New Roman" w:eastAsia="宋体"/>
                <w:b w:val="0"/>
                <w:i w:val="0"/>
                <w:color w:val="000000"/>
                <w:sz w:val="21"/>
              </w:rPr>
              <w:t>数据库</w:t>
            </w:r>
          </w:p>
        </w:tc>
        <w:tc>
          <w:tcPr>
            <w:tcW w:w="2835" w:type="dxa"/>
            <w:vAlign w:val="center"/>
          </w:tcPr>
          <w:p w14:paraId="5BBDC2A9">
            <w:pPr>
              <w:spacing w:before="20" w:after="20" w:line="240" w:lineRule="auto"/>
              <w:jc w:val="left"/>
            </w:pPr>
            <w:r>
              <w:rPr>
                <w:rFonts w:ascii="Times New Roman" w:hAnsi="Times New Roman" w:eastAsia="宋体"/>
                <w:b w:val="0"/>
                <w:i w:val="0"/>
                <w:color w:val="000000"/>
                <w:sz w:val="21"/>
              </w:rPr>
              <w:t>MySQL 8.0 / SQLite</w:t>
            </w:r>
          </w:p>
        </w:tc>
        <w:tc>
          <w:tcPr>
            <w:tcW w:w="4309" w:type="dxa"/>
            <w:vAlign w:val="center"/>
          </w:tcPr>
          <w:p w14:paraId="63D58776">
            <w:pPr>
              <w:spacing w:before="20" w:after="20" w:line="240" w:lineRule="auto"/>
              <w:jc w:val="left"/>
            </w:pPr>
            <w:r>
              <w:rPr>
                <w:rFonts w:ascii="Times New Roman" w:hAnsi="Times New Roman" w:eastAsia="宋体"/>
                <w:b w:val="0"/>
                <w:i w:val="0"/>
                <w:color w:val="000000"/>
                <w:sz w:val="21"/>
              </w:rPr>
              <w:t>结构化数据存储；SQLite 降级保证可离线演示</w:t>
            </w:r>
          </w:p>
        </w:tc>
      </w:tr>
      <w:tr w14:paraId="529B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01771506">
            <w:pPr>
              <w:spacing w:before="20" w:after="20" w:line="240" w:lineRule="auto"/>
              <w:jc w:val="center"/>
            </w:pPr>
            <w:r>
              <w:rPr>
                <w:rFonts w:ascii="Times New Roman" w:hAnsi="Times New Roman" w:eastAsia="宋体"/>
                <w:b w:val="0"/>
                <w:i w:val="0"/>
                <w:color w:val="000000"/>
                <w:sz w:val="21"/>
              </w:rPr>
              <w:t>算法</w:t>
            </w:r>
          </w:p>
        </w:tc>
        <w:tc>
          <w:tcPr>
            <w:tcW w:w="2835" w:type="dxa"/>
            <w:vAlign w:val="center"/>
          </w:tcPr>
          <w:p w14:paraId="3A312B68">
            <w:pPr>
              <w:spacing w:before="20" w:after="20" w:line="240" w:lineRule="auto"/>
              <w:jc w:val="left"/>
            </w:pPr>
            <w:r>
              <w:rPr>
                <w:rFonts w:ascii="Times New Roman" w:hAnsi="Times New Roman" w:eastAsia="宋体"/>
                <w:b w:val="0"/>
                <w:i w:val="0"/>
                <w:color w:val="000000"/>
                <w:sz w:val="21"/>
              </w:rPr>
              <w:t>XGBoost、scikit-learn、NumPy</w:t>
            </w:r>
          </w:p>
        </w:tc>
        <w:tc>
          <w:tcPr>
            <w:tcW w:w="4309" w:type="dxa"/>
            <w:vAlign w:val="center"/>
          </w:tcPr>
          <w:p w14:paraId="05E527F2">
            <w:pPr>
              <w:spacing w:before="20" w:after="20" w:line="240" w:lineRule="auto"/>
              <w:jc w:val="left"/>
            </w:pPr>
            <w:r>
              <w:rPr>
                <w:rFonts w:ascii="Times New Roman" w:hAnsi="Times New Roman" w:eastAsia="宋体"/>
                <w:b w:val="0"/>
                <w:i w:val="0"/>
                <w:color w:val="000000"/>
                <w:sz w:val="21"/>
              </w:rPr>
              <w:t>覆盖回归、优化、异常检测全部需求</w:t>
            </w:r>
          </w:p>
        </w:tc>
      </w:tr>
      <w:tr w14:paraId="1F4D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2380D3F6">
            <w:pPr>
              <w:spacing w:before="20" w:after="20" w:line="240" w:lineRule="auto"/>
              <w:jc w:val="center"/>
            </w:pPr>
            <w:r>
              <w:rPr>
                <w:rFonts w:ascii="Times New Roman" w:hAnsi="Times New Roman" w:eastAsia="宋体"/>
                <w:b w:val="0"/>
                <w:i w:val="0"/>
                <w:color w:val="000000"/>
                <w:sz w:val="21"/>
              </w:rPr>
              <w:t>工程化</w:t>
            </w:r>
          </w:p>
        </w:tc>
        <w:tc>
          <w:tcPr>
            <w:tcW w:w="2835" w:type="dxa"/>
            <w:vAlign w:val="center"/>
          </w:tcPr>
          <w:p w14:paraId="6115C7DF">
            <w:pPr>
              <w:spacing w:before="20" w:after="20" w:line="240" w:lineRule="auto"/>
              <w:jc w:val="left"/>
            </w:pPr>
            <w:r>
              <w:rPr>
                <w:rFonts w:ascii="Times New Roman" w:hAnsi="Times New Roman" w:eastAsia="宋体"/>
                <w:b w:val="0"/>
                <w:i w:val="0"/>
                <w:color w:val="000000"/>
                <w:sz w:val="21"/>
              </w:rPr>
              <w:t>Git + GitHub、pytest</w:t>
            </w:r>
          </w:p>
        </w:tc>
        <w:tc>
          <w:tcPr>
            <w:tcW w:w="4309" w:type="dxa"/>
            <w:vAlign w:val="center"/>
          </w:tcPr>
          <w:p w14:paraId="768152D4">
            <w:pPr>
              <w:spacing w:before="20" w:after="20" w:line="240" w:lineRule="auto"/>
              <w:jc w:val="left"/>
            </w:pPr>
            <w:r>
              <w:rPr>
                <w:rFonts w:ascii="Times New Roman" w:hAnsi="Times New Roman" w:eastAsia="宋体"/>
                <w:b w:val="0"/>
                <w:i w:val="0"/>
                <w:color w:val="000000"/>
                <w:sz w:val="21"/>
              </w:rPr>
              <w:t>版本控制与自动化测试，保障可追溯与质量</w:t>
            </w:r>
          </w:p>
        </w:tc>
      </w:tr>
    </w:tbl>
    <w:p w14:paraId="357E0657">
      <w:pPr>
        <w:spacing w:after="40" w:line="240" w:lineRule="auto"/>
      </w:pPr>
    </w:p>
    <w:p w14:paraId="5E627580">
      <w:pPr>
        <w:pStyle w:val="4"/>
        <w:spacing w:before="220" w:after="100" w:line="360" w:lineRule="auto"/>
      </w:pPr>
      <w:bookmarkStart w:id="10" w:name="_Toc22914"/>
      <w:r>
        <w:rPr>
          <w:rFonts w:ascii="Arial" w:hAnsi="Arial" w:eastAsia="黑体"/>
          <w:b/>
          <w:i w:val="0"/>
          <w:color w:val="000000"/>
          <w:sz w:val="28"/>
        </w:rPr>
        <w:t>2.4　功能模块设计</w:t>
      </w:r>
      <w:bookmarkEnd w:id="10"/>
    </w:p>
    <w:p w14:paraId="7C553E3B">
      <w:pPr>
        <w:spacing w:before="0" w:after="0" w:line="360" w:lineRule="auto"/>
        <w:ind w:firstLine="480" w:firstLineChars="200"/>
        <w:jc w:val="both"/>
      </w:pPr>
      <w:r>
        <w:rPr>
          <w:rFonts w:ascii="Times New Roman" w:hAnsi="Times New Roman" w:eastAsia="宋体"/>
          <w:b w:val="0"/>
          <w:i w:val="0"/>
          <w:color w:val="000000"/>
          <w:sz w:val="24"/>
        </w:rPr>
        <w:t>前端按业务划分为四个页面：运行总览页集中展示设备信息、记录统计、排放限值、近期排放趋势与预警信息；排放预测页接收 8 项运行参数，输出 TEY、CO、NOx 预测值与综合排放等级；参数优化页支持设置 PSO 粒子数与迭代次数，输出最优参数组合、优化前后能量产出对比与达标情况；异常监测页接收 9 项特征，输出异常分值、预警等级、仪表盘可视化与历史预警日志。后端相应划分为 API 路由层、业务服务层、算法模块层与数据访问层，三个算法模块独立封装、互不耦合，便于单独测试与答辩讲解。</w:t>
      </w:r>
    </w:p>
    <w:p w14:paraId="422F7BEE">
      <w:pPr>
        <w:pStyle w:val="4"/>
        <w:spacing w:before="220" w:after="100" w:line="360" w:lineRule="auto"/>
      </w:pPr>
      <w:bookmarkStart w:id="11" w:name="_Toc13617"/>
      <w:r>
        <w:rPr>
          <w:rFonts w:ascii="Arial" w:hAnsi="Arial" w:eastAsia="黑体"/>
          <w:b/>
          <w:i w:val="0"/>
          <w:color w:val="000000"/>
          <w:sz w:val="28"/>
        </w:rPr>
        <w:t>2.5　数据库设计</w:t>
      </w:r>
      <w:bookmarkEnd w:id="11"/>
    </w:p>
    <w:p w14:paraId="60F8575B">
      <w:pPr>
        <w:spacing w:before="0" w:after="0" w:line="360" w:lineRule="auto"/>
        <w:ind w:firstLine="480" w:firstLineChars="200"/>
        <w:jc w:val="both"/>
      </w:pPr>
      <w:r>
        <w:rPr>
          <w:rFonts w:ascii="Times New Roman" w:hAnsi="Times New Roman" w:eastAsia="宋体"/>
          <w:b w:val="0"/>
          <w:i w:val="0"/>
          <w:color w:val="000000"/>
          <w:sz w:val="24"/>
        </w:rPr>
        <w:t>系统设计三张核心数据表。设备基础信息表 device_basics 存储机组台账、额定功率、设计涡轮进口温度与排放限值；运行与优化记录表 run_records 以 JSON 字段存储每次预测或优化的输入参数与输出结果，并以记录类型字段区分；异常监测日志表 anomaly_logs 存储检测输入、异常分值、预警等级与描述。三张表的结构设计如表2-3所示。</w:t>
      </w:r>
    </w:p>
    <w:p w14:paraId="1BBB4509">
      <w:pPr>
        <w:spacing w:before="80" w:after="80" w:line="240" w:lineRule="auto"/>
        <w:jc w:val="center"/>
      </w:pPr>
      <w:r>
        <w:rPr>
          <w:rFonts w:ascii="Times New Roman" w:hAnsi="Times New Roman" w:eastAsia="宋体"/>
          <w:b/>
          <w:i w:val="0"/>
          <w:color w:val="000000"/>
          <w:sz w:val="21"/>
        </w:rPr>
        <w:t>表2-3　数据库表结构设计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195"/>
        <w:gridCol w:w="2608"/>
      </w:tblGrid>
      <w:tr w14:paraId="2439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701" w:type="dxa"/>
            <w:shd w:val="clear" w:color="auto" w:fill="F2F2F2"/>
            <w:vAlign w:val="center"/>
          </w:tcPr>
          <w:p w14:paraId="46009B4E">
            <w:pPr>
              <w:spacing w:before="20" w:after="20" w:line="240" w:lineRule="auto"/>
              <w:jc w:val="center"/>
            </w:pPr>
            <w:r>
              <w:rPr>
                <w:rFonts w:ascii="Times New Roman" w:hAnsi="Times New Roman" w:eastAsia="宋体"/>
                <w:b/>
                <w:i w:val="0"/>
                <w:color w:val="000000"/>
                <w:sz w:val="21"/>
              </w:rPr>
              <w:t>表名</w:t>
            </w:r>
          </w:p>
        </w:tc>
        <w:tc>
          <w:tcPr>
            <w:tcW w:w="4195" w:type="dxa"/>
            <w:shd w:val="clear" w:color="auto" w:fill="F2F2F2"/>
            <w:vAlign w:val="center"/>
          </w:tcPr>
          <w:p w14:paraId="1D6B2064">
            <w:pPr>
              <w:spacing w:before="20" w:after="20" w:line="240" w:lineRule="auto"/>
              <w:jc w:val="center"/>
            </w:pPr>
            <w:r>
              <w:rPr>
                <w:rFonts w:ascii="Times New Roman" w:hAnsi="Times New Roman" w:eastAsia="宋体"/>
                <w:b/>
                <w:i w:val="0"/>
                <w:color w:val="000000"/>
                <w:sz w:val="21"/>
              </w:rPr>
              <w:t>主要字段</w:t>
            </w:r>
          </w:p>
        </w:tc>
        <w:tc>
          <w:tcPr>
            <w:tcW w:w="2608" w:type="dxa"/>
            <w:shd w:val="clear" w:color="auto" w:fill="F2F2F2"/>
            <w:vAlign w:val="center"/>
          </w:tcPr>
          <w:p w14:paraId="72FC40C0">
            <w:pPr>
              <w:spacing w:before="20" w:after="20" w:line="240" w:lineRule="auto"/>
              <w:jc w:val="center"/>
            </w:pPr>
            <w:r>
              <w:rPr>
                <w:rFonts w:ascii="Times New Roman" w:hAnsi="Times New Roman" w:eastAsia="宋体"/>
                <w:b/>
                <w:i w:val="0"/>
                <w:color w:val="000000"/>
                <w:sz w:val="21"/>
              </w:rPr>
              <w:t>用途</w:t>
            </w:r>
          </w:p>
        </w:tc>
      </w:tr>
      <w:tr w14:paraId="4B6E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10EA904">
            <w:pPr>
              <w:spacing w:before="20" w:after="20" w:line="240" w:lineRule="auto"/>
              <w:jc w:val="left"/>
            </w:pPr>
            <w:r>
              <w:rPr>
                <w:rFonts w:ascii="Times New Roman" w:hAnsi="Times New Roman" w:eastAsia="宋体"/>
                <w:b w:val="0"/>
                <w:i w:val="0"/>
                <w:color w:val="000000"/>
                <w:sz w:val="21"/>
              </w:rPr>
              <w:t>device_basics</w:t>
            </w:r>
          </w:p>
        </w:tc>
        <w:tc>
          <w:tcPr>
            <w:tcW w:w="4195" w:type="dxa"/>
            <w:vAlign w:val="center"/>
          </w:tcPr>
          <w:p w14:paraId="39BFEAE3">
            <w:pPr>
              <w:spacing w:before="20" w:after="20" w:line="240" w:lineRule="auto"/>
              <w:jc w:val="left"/>
            </w:pPr>
            <w:r>
              <w:rPr>
                <w:rFonts w:ascii="Times New Roman" w:hAnsi="Times New Roman" w:eastAsia="宋体"/>
                <w:b w:val="0"/>
                <w:i w:val="0"/>
                <w:color w:val="000000"/>
                <w:sz w:val="21"/>
              </w:rPr>
              <w:t>id、设备名称、额定功率、设计进口温度、NOx/CO 限值、创建时间</w:t>
            </w:r>
          </w:p>
        </w:tc>
        <w:tc>
          <w:tcPr>
            <w:tcW w:w="2608" w:type="dxa"/>
            <w:vAlign w:val="center"/>
          </w:tcPr>
          <w:p w14:paraId="6F2D3515">
            <w:pPr>
              <w:spacing w:before="20" w:after="20" w:line="240" w:lineRule="auto"/>
              <w:jc w:val="left"/>
            </w:pPr>
            <w:r>
              <w:rPr>
                <w:rFonts w:ascii="Times New Roman" w:hAnsi="Times New Roman" w:eastAsia="宋体"/>
                <w:b w:val="0"/>
                <w:i w:val="0"/>
                <w:color w:val="000000"/>
                <w:sz w:val="21"/>
              </w:rPr>
              <w:t>设备台账与排放标准</w:t>
            </w:r>
          </w:p>
        </w:tc>
      </w:tr>
      <w:tr w14:paraId="22C8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5DCD8EC">
            <w:pPr>
              <w:spacing w:before="20" w:after="20" w:line="240" w:lineRule="auto"/>
              <w:jc w:val="left"/>
            </w:pPr>
            <w:r>
              <w:rPr>
                <w:rFonts w:ascii="Times New Roman" w:hAnsi="Times New Roman" w:eastAsia="宋体"/>
                <w:b w:val="0"/>
                <w:i w:val="0"/>
                <w:color w:val="000000"/>
                <w:sz w:val="21"/>
              </w:rPr>
              <w:t>run_records</w:t>
            </w:r>
          </w:p>
        </w:tc>
        <w:tc>
          <w:tcPr>
            <w:tcW w:w="4195" w:type="dxa"/>
            <w:vAlign w:val="center"/>
          </w:tcPr>
          <w:p w14:paraId="0D2DD3AE">
            <w:pPr>
              <w:spacing w:before="20" w:after="20" w:line="240" w:lineRule="auto"/>
              <w:jc w:val="left"/>
            </w:pPr>
            <w:r>
              <w:rPr>
                <w:rFonts w:ascii="Times New Roman" w:hAnsi="Times New Roman" w:eastAsia="宋体"/>
                <w:b w:val="0"/>
                <w:i w:val="0"/>
                <w:color w:val="000000"/>
                <w:sz w:val="21"/>
              </w:rPr>
              <w:t>id、记录类型、参数 JSON、结果 JSON、创建时间</w:t>
            </w:r>
          </w:p>
        </w:tc>
        <w:tc>
          <w:tcPr>
            <w:tcW w:w="2608" w:type="dxa"/>
            <w:vAlign w:val="center"/>
          </w:tcPr>
          <w:p w14:paraId="17DB1809">
            <w:pPr>
              <w:spacing w:before="20" w:after="20" w:line="240" w:lineRule="auto"/>
              <w:jc w:val="left"/>
            </w:pPr>
            <w:r>
              <w:rPr>
                <w:rFonts w:ascii="Times New Roman" w:hAnsi="Times New Roman" w:eastAsia="宋体"/>
                <w:b w:val="0"/>
                <w:i w:val="0"/>
                <w:color w:val="000000"/>
                <w:sz w:val="21"/>
              </w:rPr>
              <w:t>预测/优化记录存档追溯</w:t>
            </w:r>
          </w:p>
        </w:tc>
      </w:tr>
      <w:tr w14:paraId="7466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BCF34B2">
            <w:pPr>
              <w:spacing w:before="20" w:after="20" w:line="240" w:lineRule="auto"/>
              <w:jc w:val="left"/>
            </w:pPr>
            <w:r>
              <w:rPr>
                <w:rFonts w:ascii="Times New Roman" w:hAnsi="Times New Roman" w:eastAsia="宋体"/>
                <w:b w:val="0"/>
                <w:i w:val="0"/>
                <w:color w:val="000000"/>
                <w:sz w:val="21"/>
              </w:rPr>
              <w:t>anomaly_logs</w:t>
            </w:r>
          </w:p>
        </w:tc>
        <w:tc>
          <w:tcPr>
            <w:tcW w:w="4195" w:type="dxa"/>
            <w:vAlign w:val="center"/>
          </w:tcPr>
          <w:p w14:paraId="3CC4C766">
            <w:pPr>
              <w:spacing w:before="20" w:after="20" w:line="240" w:lineRule="auto"/>
              <w:jc w:val="left"/>
            </w:pPr>
            <w:r>
              <w:rPr>
                <w:rFonts w:ascii="Times New Roman" w:hAnsi="Times New Roman" w:eastAsia="宋体"/>
                <w:b w:val="0"/>
                <w:i w:val="0"/>
                <w:color w:val="000000"/>
                <w:sz w:val="21"/>
              </w:rPr>
              <w:t>id、参数 JSON、异常分值、预警等级、描述、创建时间</w:t>
            </w:r>
          </w:p>
        </w:tc>
        <w:tc>
          <w:tcPr>
            <w:tcW w:w="2608" w:type="dxa"/>
            <w:vAlign w:val="center"/>
          </w:tcPr>
          <w:p w14:paraId="39BFD667">
            <w:pPr>
              <w:spacing w:before="20" w:after="20" w:line="240" w:lineRule="auto"/>
              <w:jc w:val="left"/>
            </w:pPr>
            <w:r>
              <w:rPr>
                <w:rFonts w:ascii="Times New Roman" w:hAnsi="Times New Roman" w:eastAsia="宋体"/>
                <w:b w:val="0"/>
                <w:i w:val="0"/>
                <w:color w:val="000000"/>
                <w:sz w:val="21"/>
              </w:rPr>
              <w:t>异常预警日志</w:t>
            </w:r>
          </w:p>
        </w:tc>
      </w:tr>
    </w:tbl>
    <w:p w14:paraId="2DBFAA77">
      <w:pPr>
        <w:spacing w:after="40" w:line="240" w:lineRule="auto"/>
      </w:pPr>
    </w:p>
    <w:p w14:paraId="1B6CDA2F">
      <w:pPr>
        <w:pStyle w:val="4"/>
        <w:spacing w:before="220" w:after="100" w:line="360" w:lineRule="auto"/>
      </w:pPr>
      <w:bookmarkStart w:id="12" w:name="_Toc25989"/>
      <w:r>
        <w:rPr>
          <w:rFonts w:ascii="Arial" w:hAnsi="Arial" w:eastAsia="黑体"/>
          <w:b/>
          <w:i w:val="0"/>
          <w:color w:val="000000"/>
          <w:sz w:val="28"/>
        </w:rPr>
        <w:t>2.6　技术路线</w:t>
      </w:r>
      <w:bookmarkEnd w:id="12"/>
    </w:p>
    <w:p w14:paraId="2487D50C">
      <w:pPr>
        <w:spacing w:before="0" w:after="0" w:line="360" w:lineRule="auto"/>
        <w:ind w:firstLine="480" w:firstLineChars="200"/>
        <w:jc w:val="both"/>
      </w:pPr>
      <w:r>
        <w:rPr>
          <w:rFonts w:ascii="Times New Roman" w:hAnsi="Times New Roman" w:eastAsia="宋体"/>
          <w:b w:val="0"/>
          <w:i w:val="0"/>
          <w:color w:val="000000"/>
          <w:sz w:val="24"/>
        </w:rPr>
        <w:t>开发按“数据准备—模型开发—后端开发—前端开发—集成调试—成果整理”的顺序推进：首先获取公开数据集并完成清洗、划分与标准化；随后分别训练三个算法模块并评估效果；在此基础上搭建 Flask 后端，完成数据库交互、接口开发与算法集成；再开发前端页面并对接接口；最后进行前后端联调、全流程测试与缺陷修复，形成可运行原型并撰写设计报告。各阶段均通过 Git 提交形成可追溯的版本记录。</w:t>
      </w:r>
    </w:p>
    <w:p w14:paraId="4645E6E4">
      <w:r>
        <w:br w:type="page"/>
      </w:r>
    </w:p>
    <w:p w14:paraId="3982B64F">
      <w:pPr>
        <w:pStyle w:val="3"/>
        <w:spacing w:before="280" w:after="120" w:line="360" w:lineRule="auto"/>
      </w:pPr>
      <w:bookmarkStart w:id="13" w:name="_Toc2006"/>
      <w:r>
        <w:rPr>
          <w:rFonts w:ascii="Arial" w:hAnsi="Arial" w:eastAsia="黑体"/>
          <w:b/>
          <w:i w:val="0"/>
          <w:color w:val="000000"/>
          <w:sz w:val="32"/>
        </w:rPr>
        <w:t>第3章　数据资源构建</w:t>
      </w:r>
      <w:bookmarkEnd w:id="13"/>
    </w:p>
    <w:p w14:paraId="46001744">
      <w:pPr>
        <w:pStyle w:val="4"/>
        <w:spacing w:before="220" w:after="100" w:line="360" w:lineRule="auto"/>
      </w:pPr>
      <w:bookmarkStart w:id="14" w:name="_Toc20136"/>
      <w:r>
        <w:rPr>
          <w:rFonts w:ascii="Arial" w:hAnsi="Arial" w:eastAsia="黑体"/>
          <w:b/>
          <w:i w:val="0"/>
          <w:color w:val="000000"/>
          <w:sz w:val="28"/>
        </w:rPr>
        <w:t>3.1　数据集来源</w:t>
      </w:r>
      <w:bookmarkEnd w:id="14"/>
    </w:p>
    <w:p w14:paraId="6A4D46D2">
      <w:pPr>
        <w:spacing w:before="0" w:after="0" w:line="360" w:lineRule="auto"/>
        <w:ind w:firstLine="480" w:firstLineChars="200"/>
        <w:jc w:val="both"/>
      </w:pPr>
      <w:r>
        <w:rPr>
          <w:rFonts w:ascii="Times New Roman" w:hAnsi="Times New Roman" w:eastAsia="宋体"/>
          <w:b w:val="0"/>
          <w:i w:val="0"/>
          <w:color w:val="000000"/>
          <w:sz w:val="24"/>
        </w:rPr>
        <w:t>本系统采用 UCI 机器学习仓库公开发布的 Gas Turbine CO and NOx Emission Data Set（燃气轮机 CO 与 NOx 排放数据集）。数据采集自土耳其某燃气轮机电站 2011—2015 年连续运行监测数据，按小时聚合，原始样本共 36733 条，官方声明无缺失值。数据集基本信息如表3-1所示，官方链接已实际访问验证返回 HTTP 200，保证来源有效。</w:t>
      </w:r>
    </w:p>
    <w:p w14:paraId="68AF6E9A">
      <w:pPr>
        <w:spacing w:before="80" w:after="80" w:line="240" w:lineRule="auto"/>
        <w:jc w:val="center"/>
      </w:pPr>
      <w:r>
        <w:rPr>
          <w:rFonts w:ascii="Times New Roman" w:hAnsi="Times New Roman" w:eastAsia="宋体"/>
          <w:b/>
          <w:i w:val="0"/>
          <w:color w:val="000000"/>
          <w:sz w:val="21"/>
        </w:rPr>
        <w:t>表3-1　数据集基本信息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91"/>
      </w:tblGrid>
      <w:tr w14:paraId="63C4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F2F2F2"/>
            <w:vAlign w:val="center"/>
          </w:tcPr>
          <w:p w14:paraId="58A48B5D">
            <w:pPr>
              <w:spacing w:before="20" w:after="20" w:line="240" w:lineRule="auto"/>
              <w:jc w:val="center"/>
            </w:pPr>
            <w:r>
              <w:rPr>
                <w:rFonts w:ascii="Times New Roman" w:hAnsi="Times New Roman" w:eastAsia="宋体"/>
                <w:b/>
                <w:i w:val="0"/>
                <w:color w:val="000000"/>
                <w:sz w:val="21"/>
              </w:rPr>
              <w:t>项目</w:t>
            </w:r>
          </w:p>
        </w:tc>
        <w:tc>
          <w:tcPr>
            <w:tcW w:w="6690" w:type="dxa"/>
            <w:shd w:val="clear" w:color="auto" w:fill="F2F2F2"/>
            <w:vAlign w:val="center"/>
          </w:tcPr>
          <w:p w14:paraId="0F0EB5D5">
            <w:pPr>
              <w:spacing w:before="20" w:after="20" w:line="240" w:lineRule="auto"/>
              <w:jc w:val="center"/>
            </w:pPr>
            <w:r>
              <w:rPr>
                <w:rFonts w:ascii="Times New Roman" w:hAnsi="Times New Roman" w:eastAsia="宋体"/>
                <w:b/>
                <w:i w:val="0"/>
                <w:color w:val="000000"/>
                <w:sz w:val="21"/>
              </w:rPr>
              <w:t>内容</w:t>
            </w:r>
          </w:p>
        </w:tc>
      </w:tr>
      <w:tr w14:paraId="125F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20048F0">
            <w:pPr>
              <w:spacing w:before="20" w:after="20" w:line="240" w:lineRule="auto"/>
              <w:jc w:val="center"/>
            </w:pPr>
            <w:r>
              <w:rPr>
                <w:rFonts w:ascii="Times New Roman" w:hAnsi="Times New Roman" w:eastAsia="宋体"/>
                <w:b w:val="0"/>
                <w:i w:val="0"/>
                <w:color w:val="000000"/>
                <w:sz w:val="21"/>
              </w:rPr>
              <w:t>数据集名称</w:t>
            </w:r>
          </w:p>
        </w:tc>
        <w:tc>
          <w:tcPr>
            <w:tcW w:w="6690" w:type="dxa"/>
            <w:vAlign w:val="center"/>
          </w:tcPr>
          <w:p w14:paraId="1C1D4CD7">
            <w:pPr>
              <w:spacing w:before="20" w:after="20" w:line="240" w:lineRule="auto"/>
              <w:jc w:val="left"/>
            </w:pPr>
            <w:r>
              <w:rPr>
                <w:rFonts w:ascii="Times New Roman" w:hAnsi="Times New Roman" w:eastAsia="宋体"/>
                <w:b w:val="0"/>
                <w:i w:val="0"/>
                <w:color w:val="000000"/>
                <w:sz w:val="21"/>
              </w:rPr>
              <w:t>Gas Turbine CO and NOx Emission Data Set</w:t>
            </w:r>
          </w:p>
        </w:tc>
      </w:tr>
      <w:tr w14:paraId="1EC2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0788513">
            <w:pPr>
              <w:spacing w:before="20" w:after="20" w:line="240" w:lineRule="auto"/>
              <w:jc w:val="center"/>
            </w:pPr>
            <w:r>
              <w:rPr>
                <w:rFonts w:ascii="Times New Roman" w:hAnsi="Times New Roman" w:eastAsia="宋体"/>
                <w:b w:val="0"/>
                <w:i w:val="0"/>
                <w:color w:val="000000"/>
                <w:sz w:val="21"/>
              </w:rPr>
              <w:t>来源机构</w:t>
            </w:r>
          </w:p>
        </w:tc>
        <w:tc>
          <w:tcPr>
            <w:tcW w:w="6690" w:type="dxa"/>
            <w:vAlign w:val="center"/>
          </w:tcPr>
          <w:p w14:paraId="3C4994A6">
            <w:pPr>
              <w:spacing w:before="20" w:after="20" w:line="240" w:lineRule="auto"/>
              <w:jc w:val="left"/>
            </w:pPr>
            <w:r>
              <w:rPr>
                <w:rFonts w:ascii="Times New Roman" w:hAnsi="Times New Roman" w:eastAsia="宋体"/>
                <w:b w:val="0"/>
                <w:i w:val="0"/>
                <w:color w:val="000000"/>
                <w:sz w:val="21"/>
              </w:rPr>
              <w:t>UCI Machine Learning Repository</w:t>
            </w:r>
          </w:p>
        </w:tc>
      </w:tr>
      <w:tr w14:paraId="307B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C2DAA1D">
            <w:pPr>
              <w:spacing w:before="20" w:after="20" w:line="240" w:lineRule="auto"/>
              <w:jc w:val="center"/>
            </w:pPr>
            <w:r>
              <w:rPr>
                <w:rFonts w:ascii="Times New Roman" w:hAnsi="Times New Roman" w:eastAsia="宋体"/>
                <w:b w:val="0"/>
                <w:i w:val="0"/>
                <w:color w:val="000000"/>
                <w:sz w:val="21"/>
              </w:rPr>
              <w:t>官方链接</w:t>
            </w:r>
          </w:p>
        </w:tc>
        <w:tc>
          <w:tcPr>
            <w:tcW w:w="6690" w:type="dxa"/>
            <w:vAlign w:val="center"/>
          </w:tcPr>
          <w:p w14:paraId="32EC31D7">
            <w:pPr>
              <w:spacing w:before="20" w:after="20" w:line="240" w:lineRule="auto"/>
              <w:jc w:val="left"/>
            </w:pPr>
            <w:r>
              <w:rPr>
                <w:rFonts w:ascii="Times New Roman" w:hAnsi="Times New Roman" w:eastAsia="宋体"/>
                <w:b w:val="0"/>
                <w:i w:val="0"/>
                <w:color w:val="000000"/>
                <w:sz w:val="21"/>
              </w:rPr>
              <w:t>https://archive.ics.uci.edu/dataset/551/gas+turbine+co+and+nox+emission+data+set</w:t>
            </w:r>
          </w:p>
        </w:tc>
      </w:tr>
      <w:tr w14:paraId="350B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8A34FA5">
            <w:pPr>
              <w:spacing w:before="20" w:after="20" w:line="240" w:lineRule="auto"/>
              <w:jc w:val="center"/>
            </w:pPr>
            <w:r>
              <w:rPr>
                <w:rFonts w:ascii="Times New Roman" w:hAnsi="Times New Roman" w:eastAsia="宋体"/>
                <w:b w:val="0"/>
                <w:i w:val="0"/>
                <w:color w:val="000000"/>
                <w:sz w:val="21"/>
              </w:rPr>
              <w:t>DOI</w:t>
            </w:r>
          </w:p>
        </w:tc>
        <w:tc>
          <w:tcPr>
            <w:tcW w:w="6690" w:type="dxa"/>
            <w:vAlign w:val="center"/>
          </w:tcPr>
          <w:p w14:paraId="7888C403">
            <w:pPr>
              <w:spacing w:before="20" w:after="20" w:line="240" w:lineRule="auto"/>
              <w:jc w:val="left"/>
            </w:pPr>
            <w:r>
              <w:rPr>
                <w:rFonts w:ascii="Times New Roman" w:hAnsi="Times New Roman" w:eastAsia="宋体"/>
                <w:b w:val="0"/>
                <w:i w:val="0"/>
                <w:color w:val="000000"/>
                <w:sz w:val="21"/>
              </w:rPr>
              <w:t>https://doi.org/10.24432/C5WC95</w:t>
            </w:r>
          </w:p>
        </w:tc>
      </w:tr>
      <w:tr w14:paraId="31B4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DD8E754">
            <w:pPr>
              <w:spacing w:before="20" w:after="20" w:line="240" w:lineRule="auto"/>
              <w:jc w:val="center"/>
            </w:pPr>
            <w:r>
              <w:rPr>
                <w:rFonts w:ascii="Times New Roman" w:hAnsi="Times New Roman" w:eastAsia="宋体"/>
                <w:b w:val="0"/>
                <w:i w:val="0"/>
                <w:color w:val="000000"/>
                <w:sz w:val="21"/>
              </w:rPr>
              <w:t>时间跨度</w:t>
            </w:r>
          </w:p>
        </w:tc>
        <w:tc>
          <w:tcPr>
            <w:tcW w:w="6690" w:type="dxa"/>
            <w:vAlign w:val="center"/>
          </w:tcPr>
          <w:p w14:paraId="5296E663">
            <w:pPr>
              <w:spacing w:before="20" w:after="20" w:line="240" w:lineRule="auto"/>
              <w:jc w:val="left"/>
            </w:pPr>
            <w:r>
              <w:rPr>
                <w:rFonts w:ascii="Times New Roman" w:hAnsi="Times New Roman" w:eastAsia="宋体"/>
                <w:b w:val="0"/>
                <w:i w:val="0"/>
                <w:color w:val="000000"/>
                <w:sz w:val="21"/>
              </w:rPr>
              <w:t>2011—2015 年，按小时聚合</w:t>
            </w:r>
          </w:p>
        </w:tc>
      </w:tr>
      <w:tr w14:paraId="3407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79E3338">
            <w:pPr>
              <w:spacing w:before="20" w:after="20" w:line="240" w:lineRule="auto"/>
              <w:jc w:val="center"/>
            </w:pPr>
            <w:r>
              <w:rPr>
                <w:rFonts w:ascii="Times New Roman" w:hAnsi="Times New Roman" w:eastAsia="宋体"/>
                <w:b w:val="0"/>
                <w:i w:val="0"/>
                <w:color w:val="000000"/>
                <w:sz w:val="21"/>
              </w:rPr>
              <w:t>样本规模</w:t>
            </w:r>
          </w:p>
        </w:tc>
        <w:tc>
          <w:tcPr>
            <w:tcW w:w="6690" w:type="dxa"/>
            <w:vAlign w:val="center"/>
          </w:tcPr>
          <w:p w14:paraId="60C480A5">
            <w:pPr>
              <w:spacing w:before="20" w:after="20" w:line="240" w:lineRule="auto"/>
              <w:jc w:val="left"/>
            </w:pPr>
            <w:r>
              <w:rPr>
                <w:rFonts w:ascii="Times New Roman" w:hAnsi="Times New Roman" w:eastAsia="宋体"/>
                <w:b w:val="0"/>
                <w:i w:val="0"/>
                <w:color w:val="000000"/>
                <w:sz w:val="21"/>
              </w:rPr>
              <w:t>36733 条，11 个测量变量，无缺失值</w:t>
            </w:r>
          </w:p>
        </w:tc>
      </w:tr>
    </w:tbl>
    <w:p w14:paraId="4C8DE29E">
      <w:pPr>
        <w:spacing w:after="40" w:line="240" w:lineRule="auto"/>
      </w:pPr>
    </w:p>
    <w:p w14:paraId="190D004E">
      <w:pPr>
        <w:pStyle w:val="4"/>
        <w:spacing w:before="220" w:after="100" w:line="360" w:lineRule="auto"/>
      </w:pPr>
      <w:bookmarkStart w:id="15" w:name="_Toc22995"/>
      <w:r>
        <w:rPr>
          <w:rFonts w:ascii="Arial" w:hAnsi="Arial" w:eastAsia="黑体"/>
          <w:b/>
          <w:i w:val="0"/>
          <w:color w:val="000000"/>
          <w:sz w:val="28"/>
        </w:rPr>
        <w:t>3.2　数据字段构成</w:t>
      </w:r>
      <w:bookmarkEnd w:id="15"/>
    </w:p>
    <w:p w14:paraId="646453BC">
      <w:pPr>
        <w:spacing w:before="0" w:after="0" w:line="360" w:lineRule="auto"/>
        <w:ind w:firstLine="480" w:firstLineChars="200"/>
        <w:jc w:val="both"/>
      </w:pPr>
      <w:r>
        <w:rPr>
          <w:rFonts w:ascii="Times New Roman" w:hAnsi="Times New Roman" w:eastAsia="宋体"/>
          <w:b w:val="0"/>
          <w:i w:val="0"/>
          <w:color w:val="000000"/>
          <w:sz w:val="24"/>
        </w:rPr>
        <w:t>数据集包含 9 项运行特征与 CO、NOx 两项目标变量，TEY 涡轮能量产出在预测链中既作为特征也作为预测目标。主要字段及其统计量如表3-2所示。</w:t>
      </w:r>
    </w:p>
    <w:p w14:paraId="14209152">
      <w:pPr>
        <w:spacing w:before="80" w:after="80" w:line="240" w:lineRule="auto"/>
        <w:jc w:val="center"/>
      </w:pPr>
      <w:r>
        <w:rPr>
          <w:rFonts w:ascii="Times New Roman" w:hAnsi="Times New Roman" w:eastAsia="宋体"/>
          <w:b/>
          <w:i w:val="0"/>
          <w:color w:val="000000"/>
          <w:sz w:val="21"/>
        </w:rPr>
        <w:t>表3-2　主要字段含义与统计（去重后 36726 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438"/>
        <w:gridCol w:w="1134"/>
        <w:gridCol w:w="1134"/>
        <w:gridCol w:w="1134"/>
        <w:gridCol w:w="1134"/>
      </w:tblGrid>
      <w:tr w14:paraId="09FD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shd w:val="clear" w:color="auto" w:fill="F2F2F2"/>
            <w:vAlign w:val="center"/>
          </w:tcPr>
          <w:p w14:paraId="0950BD00">
            <w:pPr>
              <w:spacing w:before="20" w:after="20" w:line="240" w:lineRule="auto"/>
              <w:jc w:val="center"/>
            </w:pPr>
            <w:r>
              <w:rPr>
                <w:rFonts w:ascii="Times New Roman" w:hAnsi="Times New Roman" w:eastAsia="宋体"/>
                <w:b/>
                <w:i w:val="0"/>
                <w:color w:val="000000"/>
                <w:sz w:val="21"/>
              </w:rPr>
              <w:t>字段</w:t>
            </w:r>
          </w:p>
        </w:tc>
        <w:tc>
          <w:tcPr>
            <w:tcW w:w="2438" w:type="dxa"/>
            <w:shd w:val="clear" w:color="auto" w:fill="F2F2F2"/>
            <w:vAlign w:val="center"/>
          </w:tcPr>
          <w:p w14:paraId="514B3347">
            <w:pPr>
              <w:spacing w:before="20" w:after="20" w:line="240" w:lineRule="auto"/>
              <w:jc w:val="center"/>
            </w:pPr>
            <w:r>
              <w:rPr>
                <w:rFonts w:ascii="Times New Roman" w:hAnsi="Times New Roman" w:eastAsia="宋体"/>
                <w:b/>
                <w:i w:val="0"/>
                <w:color w:val="000000"/>
                <w:sz w:val="21"/>
              </w:rPr>
              <w:t>含义</w:t>
            </w:r>
          </w:p>
        </w:tc>
        <w:tc>
          <w:tcPr>
            <w:tcW w:w="1134" w:type="dxa"/>
            <w:shd w:val="clear" w:color="auto" w:fill="F2F2F2"/>
            <w:vAlign w:val="center"/>
          </w:tcPr>
          <w:p w14:paraId="7E565746">
            <w:pPr>
              <w:spacing w:before="20" w:after="20" w:line="240" w:lineRule="auto"/>
              <w:jc w:val="center"/>
            </w:pPr>
            <w:r>
              <w:rPr>
                <w:rFonts w:ascii="Times New Roman" w:hAnsi="Times New Roman" w:eastAsia="宋体"/>
                <w:b/>
                <w:i w:val="0"/>
                <w:color w:val="000000"/>
                <w:sz w:val="21"/>
              </w:rPr>
              <w:t>最小</w:t>
            </w:r>
          </w:p>
        </w:tc>
        <w:tc>
          <w:tcPr>
            <w:tcW w:w="1134" w:type="dxa"/>
            <w:shd w:val="clear" w:color="auto" w:fill="F2F2F2"/>
            <w:vAlign w:val="center"/>
          </w:tcPr>
          <w:p w14:paraId="60D0A20C">
            <w:pPr>
              <w:spacing w:before="20" w:after="20" w:line="240" w:lineRule="auto"/>
              <w:jc w:val="center"/>
            </w:pPr>
            <w:r>
              <w:rPr>
                <w:rFonts w:ascii="Times New Roman" w:hAnsi="Times New Roman" w:eastAsia="宋体"/>
                <w:b/>
                <w:i w:val="0"/>
                <w:color w:val="000000"/>
                <w:sz w:val="21"/>
              </w:rPr>
              <w:t>最大</w:t>
            </w:r>
          </w:p>
        </w:tc>
        <w:tc>
          <w:tcPr>
            <w:tcW w:w="1134" w:type="dxa"/>
            <w:shd w:val="clear" w:color="auto" w:fill="F2F2F2"/>
            <w:vAlign w:val="center"/>
          </w:tcPr>
          <w:p w14:paraId="7A2EE329">
            <w:pPr>
              <w:spacing w:before="20" w:after="20" w:line="240" w:lineRule="auto"/>
              <w:jc w:val="center"/>
            </w:pPr>
            <w:r>
              <w:rPr>
                <w:rFonts w:ascii="Times New Roman" w:hAnsi="Times New Roman" w:eastAsia="宋体"/>
                <w:b/>
                <w:i w:val="0"/>
                <w:color w:val="000000"/>
                <w:sz w:val="21"/>
              </w:rPr>
              <w:t>均值</w:t>
            </w:r>
          </w:p>
        </w:tc>
        <w:tc>
          <w:tcPr>
            <w:tcW w:w="1134" w:type="dxa"/>
            <w:shd w:val="clear" w:color="auto" w:fill="F2F2F2"/>
            <w:vAlign w:val="center"/>
          </w:tcPr>
          <w:p w14:paraId="6204B386">
            <w:pPr>
              <w:spacing w:before="20" w:after="20" w:line="240" w:lineRule="auto"/>
              <w:jc w:val="center"/>
            </w:pPr>
            <w:r>
              <w:rPr>
                <w:rFonts w:ascii="Times New Roman" w:hAnsi="Times New Roman" w:eastAsia="宋体"/>
                <w:b/>
                <w:i w:val="0"/>
                <w:color w:val="000000"/>
                <w:sz w:val="21"/>
              </w:rPr>
              <w:t>角色</w:t>
            </w:r>
          </w:p>
        </w:tc>
      </w:tr>
      <w:tr w14:paraId="1BBF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0B809ADB">
            <w:pPr>
              <w:spacing w:before="20" w:after="20" w:line="240" w:lineRule="auto"/>
              <w:jc w:val="center"/>
            </w:pPr>
            <w:r>
              <w:rPr>
                <w:rFonts w:ascii="Times New Roman" w:hAnsi="Times New Roman" w:eastAsia="宋体"/>
                <w:b w:val="0"/>
                <w:i w:val="0"/>
                <w:color w:val="000000"/>
                <w:sz w:val="21"/>
              </w:rPr>
              <w:t>AT</w:t>
            </w:r>
          </w:p>
        </w:tc>
        <w:tc>
          <w:tcPr>
            <w:tcW w:w="2438" w:type="dxa"/>
            <w:vAlign w:val="center"/>
          </w:tcPr>
          <w:p w14:paraId="00AC6C9B">
            <w:pPr>
              <w:spacing w:before="20" w:after="20" w:line="240" w:lineRule="auto"/>
              <w:jc w:val="left"/>
            </w:pPr>
            <w:r>
              <w:rPr>
                <w:rFonts w:ascii="Times New Roman" w:hAnsi="Times New Roman" w:eastAsia="宋体"/>
                <w:b w:val="0"/>
                <w:i w:val="0"/>
                <w:color w:val="000000"/>
                <w:sz w:val="21"/>
              </w:rPr>
              <w:t>环境温度/°C</w:t>
            </w:r>
          </w:p>
        </w:tc>
        <w:tc>
          <w:tcPr>
            <w:tcW w:w="1134" w:type="dxa"/>
            <w:vAlign w:val="center"/>
          </w:tcPr>
          <w:p w14:paraId="6449A814">
            <w:pPr>
              <w:spacing w:before="20" w:after="20" w:line="240" w:lineRule="auto"/>
              <w:jc w:val="center"/>
            </w:pPr>
            <w:r>
              <w:rPr>
                <w:rFonts w:ascii="Times New Roman" w:hAnsi="Times New Roman" w:eastAsia="宋体"/>
                <w:b w:val="0"/>
                <w:i w:val="0"/>
                <w:color w:val="000000"/>
                <w:sz w:val="21"/>
              </w:rPr>
              <w:t>-6.23</w:t>
            </w:r>
          </w:p>
        </w:tc>
        <w:tc>
          <w:tcPr>
            <w:tcW w:w="1134" w:type="dxa"/>
            <w:vAlign w:val="center"/>
          </w:tcPr>
          <w:p w14:paraId="61489BC0">
            <w:pPr>
              <w:spacing w:before="20" w:after="20" w:line="240" w:lineRule="auto"/>
              <w:jc w:val="center"/>
            </w:pPr>
            <w:r>
              <w:rPr>
                <w:rFonts w:ascii="Times New Roman" w:hAnsi="Times New Roman" w:eastAsia="宋体"/>
                <w:b w:val="0"/>
                <w:i w:val="0"/>
                <w:color w:val="000000"/>
                <w:sz w:val="21"/>
              </w:rPr>
              <w:t>37.10</w:t>
            </w:r>
          </w:p>
        </w:tc>
        <w:tc>
          <w:tcPr>
            <w:tcW w:w="1134" w:type="dxa"/>
            <w:vAlign w:val="center"/>
          </w:tcPr>
          <w:p w14:paraId="1E4F7B72">
            <w:pPr>
              <w:spacing w:before="20" w:after="20" w:line="240" w:lineRule="auto"/>
              <w:jc w:val="center"/>
            </w:pPr>
            <w:r>
              <w:rPr>
                <w:rFonts w:ascii="Times New Roman" w:hAnsi="Times New Roman" w:eastAsia="宋体"/>
                <w:b w:val="0"/>
                <w:i w:val="0"/>
                <w:color w:val="000000"/>
                <w:sz w:val="21"/>
              </w:rPr>
              <w:t>17.71</w:t>
            </w:r>
          </w:p>
        </w:tc>
        <w:tc>
          <w:tcPr>
            <w:tcW w:w="1134" w:type="dxa"/>
            <w:vAlign w:val="center"/>
          </w:tcPr>
          <w:p w14:paraId="53BF216B">
            <w:pPr>
              <w:spacing w:before="20" w:after="20" w:line="240" w:lineRule="auto"/>
              <w:jc w:val="center"/>
            </w:pPr>
            <w:r>
              <w:rPr>
                <w:rFonts w:ascii="Times New Roman" w:hAnsi="Times New Roman" w:eastAsia="宋体"/>
                <w:b w:val="0"/>
                <w:i w:val="0"/>
                <w:color w:val="000000"/>
                <w:sz w:val="21"/>
              </w:rPr>
              <w:t>特征</w:t>
            </w:r>
          </w:p>
        </w:tc>
      </w:tr>
      <w:tr w14:paraId="408E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38E211BB">
            <w:pPr>
              <w:spacing w:before="20" w:after="20" w:line="240" w:lineRule="auto"/>
              <w:jc w:val="center"/>
            </w:pPr>
            <w:r>
              <w:rPr>
                <w:rFonts w:ascii="Times New Roman" w:hAnsi="Times New Roman" w:eastAsia="宋体"/>
                <w:b w:val="0"/>
                <w:i w:val="0"/>
                <w:color w:val="000000"/>
                <w:sz w:val="21"/>
              </w:rPr>
              <w:t>AP</w:t>
            </w:r>
          </w:p>
        </w:tc>
        <w:tc>
          <w:tcPr>
            <w:tcW w:w="2438" w:type="dxa"/>
            <w:vAlign w:val="center"/>
          </w:tcPr>
          <w:p w14:paraId="04E64D65">
            <w:pPr>
              <w:spacing w:before="20" w:after="20" w:line="240" w:lineRule="auto"/>
              <w:jc w:val="left"/>
            </w:pPr>
            <w:r>
              <w:rPr>
                <w:rFonts w:ascii="Times New Roman" w:hAnsi="Times New Roman" w:eastAsia="宋体"/>
                <w:b w:val="0"/>
                <w:i w:val="0"/>
                <w:color w:val="000000"/>
                <w:sz w:val="21"/>
              </w:rPr>
              <w:t>环境压力/mbar</w:t>
            </w:r>
          </w:p>
        </w:tc>
        <w:tc>
          <w:tcPr>
            <w:tcW w:w="1134" w:type="dxa"/>
            <w:vAlign w:val="center"/>
          </w:tcPr>
          <w:p w14:paraId="27583F78">
            <w:pPr>
              <w:spacing w:before="20" w:after="20" w:line="240" w:lineRule="auto"/>
              <w:jc w:val="center"/>
            </w:pPr>
            <w:r>
              <w:rPr>
                <w:rFonts w:ascii="Times New Roman" w:hAnsi="Times New Roman" w:eastAsia="宋体"/>
                <w:b w:val="0"/>
                <w:i w:val="0"/>
                <w:color w:val="000000"/>
                <w:sz w:val="21"/>
              </w:rPr>
              <w:t>985.85</w:t>
            </w:r>
          </w:p>
        </w:tc>
        <w:tc>
          <w:tcPr>
            <w:tcW w:w="1134" w:type="dxa"/>
            <w:vAlign w:val="center"/>
          </w:tcPr>
          <w:p w14:paraId="68CF678C">
            <w:pPr>
              <w:spacing w:before="20" w:after="20" w:line="240" w:lineRule="auto"/>
              <w:jc w:val="center"/>
            </w:pPr>
            <w:r>
              <w:rPr>
                <w:rFonts w:ascii="Times New Roman" w:hAnsi="Times New Roman" w:eastAsia="宋体"/>
                <w:b w:val="0"/>
                <w:i w:val="0"/>
                <w:color w:val="000000"/>
                <w:sz w:val="21"/>
              </w:rPr>
              <w:t>1036.6</w:t>
            </w:r>
          </w:p>
        </w:tc>
        <w:tc>
          <w:tcPr>
            <w:tcW w:w="1134" w:type="dxa"/>
            <w:vAlign w:val="center"/>
          </w:tcPr>
          <w:p w14:paraId="5FECEA20">
            <w:pPr>
              <w:spacing w:before="20" w:after="20" w:line="240" w:lineRule="auto"/>
              <w:jc w:val="center"/>
            </w:pPr>
            <w:r>
              <w:rPr>
                <w:rFonts w:ascii="Times New Roman" w:hAnsi="Times New Roman" w:eastAsia="宋体"/>
                <w:b w:val="0"/>
                <w:i w:val="0"/>
                <w:color w:val="000000"/>
                <w:sz w:val="21"/>
              </w:rPr>
              <w:t>1013.07</w:t>
            </w:r>
          </w:p>
        </w:tc>
        <w:tc>
          <w:tcPr>
            <w:tcW w:w="1134" w:type="dxa"/>
            <w:vAlign w:val="center"/>
          </w:tcPr>
          <w:p w14:paraId="7A960FCA">
            <w:pPr>
              <w:spacing w:before="20" w:after="20" w:line="240" w:lineRule="auto"/>
              <w:jc w:val="center"/>
            </w:pPr>
            <w:r>
              <w:rPr>
                <w:rFonts w:ascii="Times New Roman" w:hAnsi="Times New Roman" w:eastAsia="宋体"/>
                <w:b w:val="0"/>
                <w:i w:val="0"/>
                <w:color w:val="000000"/>
                <w:sz w:val="21"/>
              </w:rPr>
              <w:t>特征</w:t>
            </w:r>
          </w:p>
        </w:tc>
      </w:tr>
      <w:tr w14:paraId="13A7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70753858">
            <w:pPr>
              <w:spacing w:before="20" w:after="20" w:line="240" w:lineRule="auto"/>
              <w:jc w:val="center"/>
            </w:pPr>
            <w:r>
              <w:rPr>
                <w:rFonts w:ascii="Times New Roman" w:hAnsi="Times New Roman" w:eastAsia="宋体"/>
                <w:b w:val="0"/>
                <w:i w:val="0"/>
                <w:color w:val="000000"/>
                <w:sz w:val="21"/>
              </w:rPr>
              <w:t>AH</w:t>
            </w:r>
          </w:p>
        </w:tc>
        <w:tc>
          <w:tcPr>
            <w:tcW w:w="2438" w:type="dxa"/>
            <w:vAlign w:val="center"/>
          </w:tcPr>
          <w:p w14:paraId="4BB4784C">
            <w:pPr>
              <w:spacing w:before="20" w:after="20" w:line="240" w:lineRule="auto"/>
              <w:jc w:val="left"/>
            </w:pPr>
            <w:r>
              <w:rPr>
                <w:rFonts w:ascii="Times New Roman" w:hAnsi="Times New Roman" w:eastAsia="宋体"/>
                <w:b w:val="0"/>
                <w:i w:val="0"/>
                <w:color w:val="000000"/>
                <w:sz w:val="21"/>
              </w:rPr>
              <w:t>环境湿度/%</w:t>
            </w:r>
          </w:p>
        </w:tc>
        <w:tc>
          <w:tcPr>
            <w:tcW w:w="1134" w:type="dxa"/>
            <w:vAlign w:val="center"/>
          </w:tcPr>
          <w:p w14:paraId="04BF52C8">
            <w:pPr>
              <w:spacing w:before="20" w:after="20" w:line="240" w:lineRule="auto"/>
              <w:jc w:val="center"/>
            </w:pPr>
            <w:r>
              <w:rPr>
                <w:rFonts w:ascii="Times New Roman" w:hAnsi="Times New Roman" w:eastAsia="宋体"/>
                <w:b w:val="0"/>
                <w:i w:val="0"/>
                <w:color w:val="000000"/>
                <w:sz w:val="21"/>
              </w:rPr>
              <w:t>24.08</w:t>
            </w:r>
          </w:p>
        </w:tc>
        <w:tc>
          <w:tcPr>
            <w:tcW w:w="1134" w:type="dxa"/>
            <w:vAlign w:val="center"/>
          </w:tcPr>
          <w:p w14:paraId="044AFD03">
            <w:pPr>
              <w:spacing w:before="20" w:after="20" w:line="240" w:lineRule="auto"/>
              <w:jc w:val="center"/>
            </w:pPr>
            <w:r>
              <w:rPr>
                <w:rFonts w:ascii="Times New Roman" w:hAnsi="Times New Roman" w:eastAsia="宋体"/>
                <w:b w:val="0"/>
                <w:i w:val="0"/>
                <w:color w:val="000000"/>
                <w:sz w:val="21"/>
              </w:rPr>
              <w:t>100.20</w:t>
            </w:r>
          </w:p>
        </w:tc>
        <w:tc>
          <w:tcPr>
            <w:tcW w:w="1134" w:type="dxa"/>
            <w:vAlign w:val="center"/>
          </w:tcPr>
          <w:p w14:paraId="28A48FE7">
            <w:pPr>
              <w:spacing w:before="20" w:after="20" w:line="240" w:lineRule="auto"/>
              <w:jc w:val="center"/>
            </w:pPr>
            <w:r>
              <w:rPr>
                <w:rFonts w:ascii="Times New Roman" w:hAnsi="Times New Roman" w:eastAsia="宋体"/>
                <w:b w:val="0"/>
                <w:i w:val="0"/>
                <w:color w:val="000000"/>
                <w:sz w:val="21"/>
              </w:rPr>
              <w:t>77.86</w:t>
            </w:r>
          </w:p>
        </w:tc>
        <w:tc>
          <w:tcPr>
            <w:tcW w:w="1134" w:type="dxa"/>
            <w:vAlign w:val="center"/>
          </w:tcPr>
          <w:p w14:paraId="5795789F">
            <w:pPr>
              <w:spacing w:before="20" w:after="20" w:line="240" w:lineRule="auto"/>
              <w:jc w:val="center"/>
            </w:pPr>
            <w:r>
              <w:rPr>
                <w:rFonts w:ascii="Times New Roman" w:hAnsi="Times New Roman" w:eastAsia="宋体"/>
                <w:b w:val="0"/>
                <w:i w:val="0"/>
                <w:color w:val="000000"/>
                <w:sz w:val="21"/>
              </w:rPr>
              <w:t>特征</w:t>
            </w:r>
          </w:p>
        </w:tc>
      </w:tr>
      <w:tr w14:paraId="0ED8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47582432">
            <w:pPr>
              <w:spacing w:before="20" w:after="20" w:line="240" w:lineRule="auto"/>
              <w:jc w:val="center"/>
            </w:pPr>
            <w:r>
              <w:rPr>
                <w:rFonts w:ascii="Times New Roman" w:hAnsi="Times New Roman" w:eastAsia="宋体"/>
                <w:b w:val="0"/>
                <w:i w:val="0"/>
                <w:color w:val="000000"/>
                <w:sz w:val="21"/>
              </w:rPr>
              <w:t>AFDP</w:t>
            </w:r>
          </w:p>
        </w:tc>
        <w:tc>
          <w:tcPr>
            <w:tcW w:w="2438" w:type="dxa"/>
            <w:vAlign w:val="center"/>
          </w:tcPr>
          <w:p w14:paraId="3DC46672">
            <w:pPr>
              <w:spacing w:before="20" w:after="20" w:line="240" w:lineRule="auto"/>
              <w:jc w:val="left"/>
            </w:pPr>
            <w:r>
              <w:rPr>
                <w:rFonts w:ascii="Times New Roman" w:hAnsi="Times New Roman" w:eastAsia="宋体"/>
                <w:b w:val="0"/>
                <w:i w:val="0"/>
                <w:color w:val="000000"/>
                <w:sz w:val="21"/>
              </w:rPr>
              <w:t>过滤器差压/mbar</w:t>
            </w:r>
          </w:p>
        </w:tc>
        <w:tc>
          <w:tcPr>
            <w:tcW w:w="1134" w:type="dxa"/>
            <w:vAlign w:val="center"/>
          </w:tcPr>
          <w:p w14:paraId="648249D7">
            <w:pPr>
              <w:spacing w:before="20" w:after="20" w:line="240" w:lineRule="auto"/>
              <w:jc w:val="center"/>
            </w:pPr>
            <w:r>
              <w:rPr>
                <w:rFonts w:ascii="Times New Roman" w:hAnsi="Times New Roman" w:eastAsia="宋体"/>
                <w:b w:val="0"/>
                <w:i w:val="0"/>
                <w:color w:val="000000"/>
                <w:sz w:val="21"/>
              </w:rPr>
              <w:t>2.09</w:t>
            </w:r>
          </w:p>
        </w:tc>
        <w:tc>
          <w:tcPr>
            <w:tcW w:w="1134" w:type="dxa"/>
            <w:vAlign w:val="center"/>
          </w:tcPr>
          <w:p w14:paraId="74480511">
            <w:pPr>
              <w:spacing w:before="20" w:after="20" w:line="240" w:lineRule="auto"/>
              <w:jc w:val="center"/>
            </w:pPr>
            <w:r>
              <w:rPr>
                <w:rFonts w:ascii="Times New Roman" w:hAnsi="Times New Roman" w:eastAsia="宋体"/>
                <w:b w:val="0"/>
                <w:i w:val="0"/>
                <w:color w:val="000000"/>
                <w:sz w:val="21"/>
              </w:rPr>
              <w:t>7.61</w:t>
            </w:r>
          </w:p>
        </w:tc>
        <w:tc>
          <w:tcPr>
            <w:tcW w:w="1134" w:type="dxa"/>
            <w:vAlign w:val="center"/>
          </w:tcPr>
          <w:p w14:paraId="5F3801BA">
            <w:pPr>
              <w:spacing w:before="20" w:after="20" w:line="240" w:lineRule="auto"/>
              <w:jc w:val="center"/>
            </w:pPr>
            <w:r>
              <w:rPr>
                <w:rFonts w:ascii="Times New Roman" w:hAnsi="Times New Roman" w:eastAsia="宋体"/>
                <w:b w:val="0"/>
                <w:i w:val="0"/>
                <w:color w:val="000000"/>
                <w:sz w:val="21"/>
              </w:rPr>
              <w:t>3.93</w:t>
            </w:r>
          </w:p>
        </w:tc>
        <w:tc>
          <w:tcPr>
            <w:tcW w:w="1134" w:type="dxa"/>
            <w:vAlign w:val="center"/>
          </w:tcPr>
          <w:p w14:paraId="2A0B0687">
            <w:pPr>
              <w:spacing w:before="20" w:after="20" w:line="240" w:lineRule="auto"/>
              <w:jc w:val="center"/>
            </w:pPr>
            <w:r>
              <w:rPr>
                <w:rFonts w:ascii="Times New Roman" w:hAnsi="Times New Roman" w:eastAsia="宋体"/>
                <w:b w:val="0"/>
                <w:i w:val="0"/>
                <w:color w:val="000000"/>
                <w:sz w:val="21"/>
              </w:rPr>
              <w:t>特征</w:t>
            </w:r>
          </w:p>
        </w:tc>
      </w:tr>
      <w:tr w14:paraId="2000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7D1B9481">
            <w:pPr>
              <w:spacing w:before="20" w:after="20" w:line="240" w:lineRule="auto"/>
              <w:jc w:val="center"/>
            </w:pPr>
            <w:r>
              <w:rPr>
                <w:rFonts w:ascii="Times New Roman" w:hAnsi="Times New Roman" w:eastAsia="宋体"/>
                <w:b w:val="0"/>
                <w:i w:val="0"/>
                <w:color w:val="000000"/>
                <w:sz w:val="21"/>
              </w:rPr>
              <w:t>GTEP</w:t>
            </w:r>
          </w:p>
        </w:tc>
        <w:tc>
          <w:tcPr>
            <w:tcW w:w="2438" w:type="dxa"/>
            <w:vAlign w:val="center"/>
          </w:tcPr>
          <w:p w14:paraId="1E3D64B6">
            <w:pPr>
              <w:spacing w:before="20" w:after="20" w:line="240" w:lineRule="auto"/>
              <w:jc w:val="left"/>
            </w:pPr>
            <w:r>
              <w:rPr>
                <w:rFonts w:ascii="Times New Roman" w:hAnsi="Times New Roman" w:eastAsia="宋体"/>
                <w:b w:val="0"/>
                <w:i w:val="0"/>
                <w:color w:val="000000"/>
                <w:sz w:val="21"/>
              </w:rPr>
              <w:t>排气压力/mbar</w:t>
            </w:r>
          </w:p>
        </w:tc>
        <w:tc>
          <w:tcPr>
            <w:tcW w:w="1134" w:type="dxa"/>
            <w:vAlign w:val="center"/>
          </w:tcPr>
          <w:p w14:paraId="180ABA52">
            <w:pPr>
              <w:spacing w:before="20" w:after="20" w:line="240" w:lineRule="auto"/>
              <w:jc w:val="center"/>
            </w:pPr>
            <w:r>
              <w:rPr>
                <w:rFonts w:ascii="Times New Roman" w:hAnsi="Times New Roman" w:eastAsia="宋体"/>
                <w:b w:val="0"/>
                <w:i w:val="0"/>
                <w:color w:val="000000"/>
                <w:sz w:val="21"/>
              </w:rPr>
              <w:t>17.70</w:t>
            </w:r>
          </w:p>
        </w:tc>
        <w:tc>
          <w:tcPr>
            <w:tcW w:w="1134" w:type="dxa"/>
            <w:vAlign w:val="center"/>
          </w:tcPr>
          <w:p w14:paraId="541A112C">
            <w:pPr>
              <w:spacing w:before="20" w:after="20" w:line="240" w:lineRule="auto"/>
              <w:jc w:val="center"/>
            </w:pPr>
            <w:r>
              <w:rPr>
                <w:rFonts w:ascii="Times New Roman" w:hAnsi="Times New Roman" w:eastAsia="宋体"/>
                <w:b w:val="0"/>
                <w:i w:val="0"/>
                <w:color w:val="000000"/>
                <w:sz w:val="21"/>
              </w:rPr>
              <w:t>40.72</w:t>
            </w:r>
          </w:p>
        </w:tc>
        <w:tc>
          <w:tcPr>
            <w:tcW w:w="1134" w:type="dxa"/>
            <w:vAlign w:val="center"/>
          </w:tcPr>
          <w:p w14:paraId="2194FA8B">
            <w:pPr>
              <w:spacing w:before="20" w:after="20" w:line="240" w:lineRule="auto"/>
              <w:jc w:val="center"/>
            </w:pPr>
            <w:r>
              <w:rPr>
                <w:rFonts w:ascii="Times New Roman" w:hAnsi="Times New Roman" w:eastAsia="宋体"/>
                <w:b w:val="0"/>
                <w:i w:val="0"/>
                <w:color w:val="000000"/>
                <w:sz w:val="21"/>
              </w:rPr>
              <w:t>25.56</w:t>
            </w:r>
          </w:p>
        </w:tc>
        <w:tc>
          <w:tcPr>
            <w:tcW w:w="1134" w:type="dxa"/>
            <w:vAlign w:val="center"/>
          </w:tcPr>
          <w:p w14:paraId="0791C4BE">
            <w:pPr>
              <w:spacing w:before="20" w:after="20" w:line="240" w:lineRule="auto"/>
              <w:jc w:val="center"/>
            </w:pPr>
            <w:r>
              <w:rPr>
                <w:rFonts w:ascii="Times New Roman" w:hAnsi="Times New Roman" w:eastAsia="宋体"/>
                <w:b w:val="0"/>
                <w:i w:val="0"/>
                <w:color w:val="000000"/>
                <w:sz w:val="21"/>
              </w:rPr>
              <w:t>特征</w:t>
            </w:r>
          </w:p>
        </w:tc>
      </w:tr>
      <w:tr w14:paraId="6D7F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0EE5EBDD">
            <w:pPr>
              <w:spacing w:before="20" w:after="20" w:line="240" w:lineRule="auto"/>
              <w:jc w:val="center"/>
            </w:pPr>
            <w:r>
              <w:rPr>
                <w:rFonts w:ascii="Times New Roman" w:hAnsi="Times New Roman" w:eastAsia="宋体"/>
                <w:b w:val="0"/>
                <w:i w:val="0"/>
                <w:color w:val="000000"/>
                <w:sz w:val="21"/>
              </w:rPr>
              <w:t>TIT</w:t>
            </w:r>
          </w:p>
        </w:tc>
        <w:tc>
          <w:tcPr>
            <w:tcW w:w="2438" w:type="dxa"/>
            <w:vAlign w:val="center"/>
          </w:tcPr>
          <w:p w14:paraId="06AD4F74">
            <w:pPr>
              <w:spacing w:before="20" w:after="20" w:line="240" w:lineRule="auto"/>
              <w:jc w:val="left"/>
            </w:pPr>
            <w:r>
              <w:rPr>
                <w:rFonts w:ascii="Times New Roman" w:hAnsi="Times New Roman" w:eastAsia="宋体"/>
                <w:b w:val="0"/>
                <w:i w:val="0"/>
                <w:color w:val="000000"/>
                <w:sz w:val="21"/>
              </w:rPr>
              <w:t>涡轮进口温度/°C</w:t>
            </w:r>
          </w:p>
        </w:tc>
        <w:tc>
          <w:tcPr>
            <w:tcW w:w="1134" w:type="dxa"/>
            <w:vAlign w:val="center"/>
          </w:tcPr>
          <w:p w14:paraId="50A7C0DE">
            <w:pPr>
              <w:spacing w:before="20" w:after="20" w:line="240" w:lineRule="auto"/>
              <w:jc w:val="center"/>
            </w:pPr>
            <w:r>
              <w:rPr>
                <w:rFonts w:ascii="Times New Roman" w:hAnsi="Times New Roman" w:eastAsia="宋体"/>
                <w:b w:val="0"/>
                <w:i w:val="0"/>
                <w:color w:val="000000"/>
                <w:sz w:val="21"/>
              </w:rPr>
              <w:t>1000.8</w:t>
            </w:r>
          </w:p>
        </w:tc>
        <w:tc>
          <w:tcPr>
            <w:tcW w:w="1134" w:type="dxa"/>
            <w:vAlign w:val="center"/>
          </w:tcPr>
          <w:p w14:paraId="6D9556FE">
            <w:pPr>
              <w:spacing w:before="20" w:after="20" w:line="240" w:lineRule="auto"/>
              <w:jc w:val="center"/>
            </w:pPr>
            <w:r>
              <w:rPr>
                <w:rFonts w:ascii="Times New Roman" w:hAnsi="Times New Roman" w:eastAsia="宋体"/>
                <w:b w:val="0"/>
                <w:i w:val="0"/>
                <w:color w:val="000000"/>
                <w:sz w:val="21"/>
              </w:rPr>
              <w:t>1100.9</w:t>
            </w:r>
          </w:p>
        </w:tc>
        <w:tc>
          <w:tcPr>
            <w:tcW w:w="1134" w:type="dxa"/>
            <w:vAlign w:val="center"/>
          </w:tcPr>
          <w:p w14:paraId="214C6399">
            <w:pPr>
              <w:spacing w:before="20" w:after="20" w:line="240" w:lineRule="auto"/>
              <w:jc w:val="center"/>
            </w:pPr>
            <w:r>
              <w:rPr>
                <w:rFonts w:ascii="Times New Roman" w:hAnsi="Times New Roman" w:eastAsia="宋体"/>
                <w:b w:val="0"/>
                <w:i w:val="0"/>
                <w:color w:val="000000"/>
                <w:sz w:val="21"/>
              </w:rPr>
              <w:t>1081.43</w:t>
            </w:r>
          </w:p>
        </w:tc>
        <w:tc>
          <w:tcPr>
            <w:tcW w:w="1134" w:type="dxa"/>
            <w:vAlign w:val="center"/>
          </w:tcPr>
          <w:p w14:paraId="147E362B">
            <w:pPr>
              <w:spacing w:before="20" w:after="20" w:line="240" w:lineRule="auto"/>
              <w:jc w:val="center"/>
            </w:pPr>
            <w:r>
              <w:rPr>
                <w:rFonts w:ascii="Times New Roman" w:hAnsi="Times New Roman" w:eastAsia="宋体"/>
                <w:b w:val="0"/>
                <w:i w:val="0"/>
                <w:color w:val="000000"/>
                <w:sz w:val="21"/>
              </w:rPr>
              <w:t>特征</w:t>
            </w:r>
          </w:p>
        </w:tc>
      </w:tr>
      <w:tr w14:paraId="3F48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1FD42EC4">
            <w:pPr>
              <w:spacing w:before="20" w:after="20" w:line="240" w:lineRule="auto"/>
              <w:jc w:val="center"/>
            </w:pPr>
            <w:r>
              <w:rPr>
                <w:rFonts w:ascii="Times New Roman" w:hAnsi="Times New Roman" w:eastAsia="宋体"/>
                <w:b w:val="0"/>
                <w:i w:val="0"/>
                <w:color w:val="000000"/>
                <w:sz w:val="21"/>
              </w:rPr>
              <w:t>TAT</w:t>
            </w:r>
          </w:p>
        </w:tc>
        <w:tc>
          <w:tcPr>
            <w:tcW w:w="2438" w:type="dxa"/>
            <w:vAlign w:val="center"/>
          </w:tcPr>
          <w:p w14:paraId="6430FAF7">
            <w:pPr>
              <w:spacing w:before="20" w:after="20" w:line="240" w:lineRule="auto"/>
              <w:jc w:val="left"/>
            </w:pPr>
            <w:r>
              <w:rPr>
                <w:rFonts w:ascii="Times New Roman" w:hAnsi="Times New Roman" w:eastAsia="宋体"/>
                <w:b w:val="0"/>
                <w:i w:val="0"/>
                <w:color w:val="000000"/>
                <w:sz w:val="21"/>
              </w:rPr>
              <w:t>涡轮排气温度/°C</w:t>
            </w:r>
          </w:p>
        </w:tc>
        <w:tc>
          <w:tcPr>
            <w:tcW w:w="1134" w:type="dxa"/>
            <w:vAlign w:val="center"/>
          </w:tcPr>
          <w:p w14:paraId="79401BD1">
            <w:pPr>
              <w:spacing w:before="20" w:after="20" w:line="240" w:lineRule="auto"/>
              <w:jc w:val="center"/>
            </w:pPr>
            <w:r>
              <w:rPr>
                <w:rFonts w:ascii="Times New Roman" w:hAnsi="Times New Roman" w:eastAsia="宋体"/>
                <w:b w:val="0"/>
                <w:i w:val="0"/>
                <w:color w:val="000000"/>
                <w:sz w:val="21"/>
              </w:rPr>
              <w:t>511.04</w:t>
            </w:r>
          </w:p>
        </w:tc>
        <w:tc>
          <w:tcPr>
            <w:tcW w:w="1134" w:type="dxa"/>
            <w:vAlign w:val="center"/>
          </w:tcPr>
          <w:p w14:paraId="04AC1E86">
            <w:pPr>
              <w:spacing w:before="20" w:after="20" w:line="240" w:lineRule="auto"/>
              <w:jc w:val="center"/>
            </w:pPr>
            <w:r>
              <w:rPr>
                <w:rFonts w:ascii="Times New Roman" w:hAnsi="Times New Roman" w:eastAsia="宋体"/>
                <w:b w:val="0"/>
                <w:i w:val="0"/>
                <w:color w:val="000000"/>
                <w:sz w:val="21"/>
              </w:rPr>
              <w:t>550.61</w:t>
            </w:r>
          </w:p>
        </w:tc>
        <w:tc>
          <w:tcPr>
            <w:tcW w:w="1134" w:type="dxa"/>
            <w:vAlign w:val="center"/>
          </w:tcPr>
          <w:p w14:paraId="5CE327A7">
            <w:pPr>
              <w:spacing w:before="20" w:after="20" w:line="240" w:lineRule="auto"/>
              <w:jc w:val="center"/>
            </w:pPr>
            <w:r>
              <w:rPr>
                <w:rFonts w:ascii="Times New Roman" w:hAnsi="Times New Roman" w:eastAsia="宋体"/>
                <w:b w:val="0"/>
                <w:i w:val="0"/>
                <w:color w:val="000000"/>
                <w:sz w:val="21"/>
              </w:rPr>
              <w:t>546.16</w:t>
            </w:r>
          </w:p>
        </w:tc>
        <w:tc>
          <w:tcPr>
            <w:tcW w:w="1134" w:type="dxa"/>
            <w:vAlign w:val="center"/>
          </w:tcPr>
          <w:p w14:paraId="21D8C78D">
            <w:pPr>
              <w:spacing w:before="20" w:after="20" w:line="240" w:lineRule="auto"/>
              <w:jc w:val="center"/>
            </w:pPr>
            <w:r>
              <w:rPr>
                <w:rFonts w:ascii="Times New Roman" w:hAnsi="Times New Roman" w:eastAsia="宋体"/>
                <w:b w:val="0"/>
                <w:i w:val="0"/>
                <w:color w:val="000000"/>
                <w:sz w:val="21"/>
              </w:rPr>
              <w:t>特征</w:t>
            </w:r>
          </w:p>
        </w:tc>
      </w:tr>
      <w:tr w14:paraId="768D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1B9DFBB0">
            <w:pPr>
              <w:spacing w:before="20" w:after="20" w:line="240" w:lineRule="auto"/>
              <w:jc w:val="center"/>
            </w:pPr>
            <w:r>
              <w:rPr>
                <w:rFonts w:ascii="Times New Roman" w:hAnsi="Times New Roman" w:eastAsia="宋体"/>
                <w:b w:val="0"/>
                <w:i w:val="0"/>
                <w:color w:val="000000"/>
                <w:sz w:val="21"/>
              </w:rPr>
              <w:t>CDP</w:t>
            </w:r>
          </w:p>
        </w:tc>
        <w:tc>
          <w:tcPr>
            <w:tcW w:w="2438" w:type="dxa"/>
            <w:vAlign w:val="center"/>
          </w:tcPr>
          <w:p w14:paraId="1108A732">
            <w:pPr>
              <w:spacing w:before="20" w:after="20" w:line="240" w:lineRule="auto"/>
              <w:jc w:val="left"/>
            </w:pPr>
            <w:r>
              <w:rPr>
                <w:rFonts w:ascii="Times New Roman" w:hAnsi="Times New Roman" w:eastAsia="宋体"/>
                <w:b w:val="0"/>
                <w:i w:val="0"/>
                <w:color w:val="000000"/>
                <w:sz w:val="21"/>
              </w:rPr>
              <w:t>压气机出口压力/mbar</w:t>
            </w:r>
          </w:p>
        </w:tc>
        <w:tc>
          <w:tcPr>
            <w:tcW w:w="1134" w:type="dxa"/>
            <w:vAlign w:val="center"/>
          </w:tcPr>
          <w:p w14:paraId="5B951550">
            <w:pPr>
              <w:spacing w:before="20" w:after="20" w:line="240" w:lineRule="auto"/>
              <w:jc w:val="center"/>
            </w:pPr>
            <w:r>
              <w:rPr>
                <w:rFonts w:ascii="Times New Roman" w:hAnsi="Times New Roman" w:eastAsia="宋体"/>
                <w:b w:val="0"/>
                <w:i w:val="0"/>
                <w:color w:val="000000"/>
                <w:sz w:val="21"/>
              </w:rPr>
              <w:t>9.85</w:t>
            </w:r>
          </w:p>
        </w:tc>
        <w:tc>
          <w:tcPr>
            <w:tcW w:w="1134" w:type="dxa"/>
            <w:vAlign w:val="center"/>
          </w:tcPr>
          <w:p w14:paraId="63116D83">
            <w:pPr>
              <w:spacing w:before="20" w:after="20" w:line="240" w:lineRule="auto"/>
              <w:jc w:val="center"/>
            </w:pPr>
            <w:r>
              <w:rPr>
                <w:rFonts w:ascii="Times New Roman" w:hAnsi="Times New Roman" w:eastAsia="宋体"/>
                <w:b w:val="0"/>
                <w:i w:val="0"/>
                <w:color w:val="000000"/>
                <w:sz w:val="21"/>
              </w:rPr>
              <w:t>15.16</w:t>
            </w:r>
          </w:p>
        </w:tc>
        <w:tc>
          <w:tcPr>
            <w:tcW w:w="1134" w:type="dxa"/>
            <w:vAlign w:val="center"/>
          </w:tcPr>
          <w:p w14:paraId="5C61FB62">
            <w:pPr>
              <w:spacing w:before="20" w:after="20" w:line="240" w:lineRule="auto"/>
              <w:jc w:val="center"/>
            </w:pPr>
            <w:r>
              <w:rPr>
                <w:rFonts w:ascii="Times New Roman" w:hAnsi="Times New Roman" w:eastAsia="宋体"/>
                <w:b w:val="0"/>
                <w:i w:val="0"/>
                <w:color w:val="000000"/>
                <w:sz w:val="21"/>
              </w:rPr>
              <w:t>12.06</w:t>
            </w:r>
          </w:p>
        </w:tc>
        <w:tc>
          <w:tcPr>
            <w:tcW w:w="1134" w:type="dxa"/>
            <w:vAlign w:val="center"/>
          </w:tcPr>
          <w:p w14:paraId="2D7A88B5">
            <w:pPr>
              <w:spacing w:before="20" w:after="20" w:line="240" w:lineRule="auto"/>
              <w:jc w:val="center"/>
            </w:pPr>
            <w:r>
              <w:rPr>
                <w:rFonts w:ascii="Times New Roman" w:hAnsi="Times New Roman" w:eastAsia="宋体"/>
                <w:b w:val="0"/>
                <w:i w:val="0"/>
                <w:color w:val="000000"/>
                <w:sz w:val="21"/>
              </w:rPr>
              <w:t>特征</w:t>
            </w:r>
          </w:p>
        </w:tc>
      </w:tr>
      <w:tr w14:paraId="723C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4B70779B">
            <w:pPr>
              <w:spacing w:before="20" w:after="20" w:line="240" w:lineRule="auto"/>
              <w:jc w:val="center"/>
            </w:pPr>
            <w:r>
              <w:rPr>
                <w:rFonts w:ascii="Times New Roman" w:hAnsi="Times New Roman" w:eastAsia="宋体"/>
                <w:b w:val="0"/>
                <w:i w:val="0"/>
                <w:color w:val="000000"/>
                <w:sz w:val="21"/>
              </w:rPr>
              <w:t>TEY</w:t>
            </w:r>
          </w:p>
        </w:tc>
        <w:tc>
          <w:tcPr>
            <w:tcW w:w="2438" w:type="dxa"/>
            <w:vAlign w:val="center"/>
          </w:tcPr>
          <w:p w14:paraId="10B4B544">
            <w:pPr>
              <w:spacing w:before="20" w:after="20" w:line="240" w:lineRule="auto"/>
              <w:jc w:val="left"/>
            </w:pPr>
            <w:r>
              <w:rPr>
                <w:rFonts w:ascii="Times New Roman" w:hAnsi="Times New Roman" w:eastAsia="宋体"/>
                <w:b w:val="0"/>
                <w:i w:val="0"/>
                <w:color w:val="000000"/>
                <w:sz w:val="21"/>
              </w:rPr>
              <w:t>能量产出/MWh</w:t>
            </w:r>
          </w:p>
        </w:tc>
        <w:tc>
          <w:tcPr>
            <w:tcW w:w="1134" w:type="dxa"/>
            <w:vAlign w:val="center"/>
          </w:tcPr>
          <w:p w14:paraId="161C8A98">
            <w:pPr>
              <w:spacing w:before="20" w:after="20" w:line="240" w:lineRule="auto"/>
              <w:jc w:val="center"/>
            </w:pPr>
            <w:r>
              <w:rPr>
                <w:rFonts w:ascii="Times New Roman" w:hAnsi="Times New Roman" w:eastAsia="宋体"/>
                <w:b w:val="0"/>
                <w:i w:val="0"/>
                <w:color w:val="000000"/>
                <w:sz w:val="21"/>
              </w:rPr>
              <w:t>100.02</w:t>
            </w:r>
          </w:p>
        </w:tc>
        <w:tc>
          <w:tcPr>
            <w:tcW w:w="1134" w:type="dxa"/>
            <w:vAlign w:val="center"/>
          </w:tcPr>
          <w:p w14:paraId="101099FA">
            <w:pPr>
              <w:spacing w:before="20" w:after="20" w:line="240" w:lineRule="auto"/>
              <w:jc w:val="center"/>
            </w:pPr>
            <w:r>
              <w:rPr>
                <w:rFonts w:ascii="Times New Roman" w:hAnsi="Times New Roman" w:eastAsia="宋体"/>
                <w:b w:val="0"/>
                <w:i w:val="0"/>
                <w:color w:val="000000"/>
                <w:sz w:val="21"/>
              </w:rPr>
              <w:t>179.50</w:t>
            </w:r>
          </w:p>
        </w:tc>
        <w:tc>
          <w:tcPr>
            <w:tcW w:w="1134" w:type="dxa"/>
            <w:vAlign w:val="center"/>
          </w:tcPr>
          <w:p w14:paraId="63FF85B6">
            <w:pPr>
              <w:spacing w:before="20" w:after="20" w:line="240" w:lineRule="auto"/>
              <w:jc w:val="center"/>
            </w:pPr>
            <w:r>
              <w:rPr>
                <w:rFonts w:ascii="Times New Roman" w:hAnsi="Times New Roman" w:eastAsia="宋体"/>
                <w:b w:val="0"/>
                <w:i w:val="0"/>
                <w:color w:val="000000"/>
                <w:sz w:val="21"/>
              </w:rPr>
              <w:t>133.51</w:t>
            </w:r>
          </w:p>
        </w:tc>
        <w:tc>
          <w:tcPr>
            <w:tcW w:w="1134" w:type="dxa"/>
            <w:vAlign w:val="center"/>
          </w:tcPr>
          <w:p w14:paraId="23C3D3DE">
            <w:pPr>
              <w:spacing w:before="20" w:after="20" w:line="240" w:lineRule="auto"/>
              <w:jc w:val="center"/>
            </w:pPr>
            <w:r>
              <w:rPr>
                <w:rFonts w:ascii="Times New Roman" w:hAnsi="Times New Roman" w:eastAsia="宋体"/>
                <w:b w:val="0"/>
                <w:i w:val="0"/>
                <w:color w:val="000000"/>
                <w:sz w:val="21"/>
              </w:rPr>
              <w:t>特征/目标</w:t>
            </w:r>
          </w:p>
        </w:tc>
      </w:tr>
      <w:tr w14:paraId="56FD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038F8A7F">
            <w:pPr>
              <w:spacing w:before="20" w:after="20" w:line="240" w:lineRule="auto"/>
              <w:jc w:val="center"/>
            </w:pPr>
            <w:r>
              <w:rPr>
                <w:rFonts w:ascii="Times New Roman" w:hAnsi="Times New Roman" w:eastAsia="宋体"/>
                <w:b w:val="0"/>
                <w:i w:val="0"/>
                <w:color w:val="000000"/>
                <w:sz w:val="21"/>
              </w:rPr>
              <w:t>CO</w:t>
            </w:r>
          </w:p>
        </w:tc>
        <w:tc>
          <w:tcPr>
            <w:tcW w:w="2438" w:type="dxa"/>
            <w:vAlign w:val="center"/>
          </w:tcPr>
          <w:p w14:paraId="7B5D9E7A">
            <w:pPr>
              <w:spacing w:before="20" w:after="20" w:line="240" w:lineRule="auto"/>
              <w:jc w:val="left"/>
            </w:pPr>
            <w:r>
              <w:rPr>
                <w:rFonts w:ascii="Times New Roman" w:hAnsi="Times New Roman" w:eastAsia="宋体"/>
                <w:b w:val="0"/>
                <w:i w:val="0"/>
                <w:color w:val="000000"/>
                <w:sz w:val="21"/>
              </w:rPr>
              <w:t>CO 排放/(mg/m³)</w:t>
            </w:r>
          </w:p>
        </w:tc>
        <w:tc>
          <w:tcPr>
            <w:tcW w:w="1134" w:type="dxa"/>
            <w:vAlign w:val="center"/>
          </w:tcPr>
          <w:p w14:paraId="4499400F">
            <w:pPr>
              <w:spacing w:before="20" w:after="20" w:line="240" w:lineRule="auto"/>
              <w:jc w:val="center"/>
            </w:pPr>
            <w:r>
              <w:rPr>
                <w:rFonts w:ascii="Times New Roman" w:hAnsi="Times New Roman" w:eastAsia="宋体"/>
                <w:b w:val="0"/>
                <w:i w:val="0"/>
                <w:color w:val="000000"/>
                <w:sz w:val="21"/>
              </w:rPr>
              <w:t>0.00</w:t>
            </w:r>
          </w:p>
        </w:tc>
        <w:tc>
          <w:tcPr>
            <w:tcW w:w="1134" w:type="dxa"/>
            <w:vAlign w:val="center"/>
          </w:tcPr>
          <w:p w14:paraId="0348E36A">
            <w:pPr>
              <w:spacing w:before="20" w:after="20" w:line="240" w:lineRule="auto"/>
              <w:jc w:val="center"/>
            </w:pPr>
            <w:r>
              <w:rPr>
                <w:rFonts w:ascii="Times New Roman" w:hAnsi="Times New Roman" w:eastAsia="宋体"/>
                <w:b w:val="0"/>
                <w:i w:val="0"/>
                <w:color w:val="000000"/>
                <w:sz w:val="21"/>
              </w:rPr>
              <w:t>44.10</w:t>
            </w:r>
          </w:p>
        </w:tc>
        <w:tc>
          <w:tcPr>
            <w:tcW w:w="1134" w:type="dxa"/>
            <w:vAlign w:val="center"/>
          </w:tcPr>
          <w:p w14:paraId="01D9B7FC">
            <w:pPr>
              <w:spacing w:before="20" w:after="20" w:line="240" w:lineRule="auto"/>
              <w:jc w:val="center"/>
            </w:pPr>
            <w:r>
              <w:rPr>
                <w:rFonts w:ascii="Times New Roman" w:hAnsi="Times New Roman" w:eastAsia="宋体"/>
                <w:b w:val="0"/>
                <w:i w:val="0"/>
                <w:color w:val="000000"/>
                <w:sz w:val="21"/>
              </w:rPr>
              <w:t>2.37</w:t>
            </w:r>
          </w:p>
        </w:tc>
        <w:tc>
          <w:tcPr>
            <w:tcW w:w="1134" w:type="dxa"/>
            <w:vAlign w:val="center"/>
          </w:tcPr>
          <w:p w14:paraId="2C947340">
            <w:pPr>
              <w:spacing w:before="20" w:after="20" w:line="240" w:lineRule="auto"/>
              <w:jc w:val="center"/>
            </w:pPr>
            <w:r>
              <w:rPr>
                <w:rFonts w:ascii="Times New Roman" w:hAnsi="Times New Roman" w:eastAsia="宋体"/>
                <w:b w:val="0"/>
                <w:i w:val="0"/>
                <w:color w:val="000000"/>
                <w:sz w:val="21"/>
              </w:rPr>
              <w:t>目标</w:t>
            </w:r>
          </w:p>
        </w:tc>
      </w:tr>
      <w:tr w14:paraId="19A6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vAlign w:val="center"/>
          </w:tcPr>
          <w:p w14:paraId="13A4729C">
            <w:pPr>
              <w:spacing w:before="20" w:after="20" w:line="240" w:lineRule="auto"/>
              <w:jc w:val="center"/>
            </w:pPr>
            <w:r>
              <w:rPr>
                <w:rFonts w:ascii="Times New Roman" w:hAnsi="Times New Roman" w:eastAsia="宋体"/>
                <w:b w:val="0"/>
                <w:i w:val="0"/>
                <w:color w:val="000000"/>
                <w:sz w:val="21"/>
              </w:rPr>
              <w:t>NOX</w:t>
            </w:r>
          </w:p>
        </w:tc>
        <w:tc>
          <w:tcPr>
            <w:tcW w:w="2438" w:type="dxa"/>
            <w:vAlign w:val="center"/>
          </w:tcPr>
          <w:p w14:paraId="29ACBF8A">
            <w:pPr>
              <w:spacing w:before="20" w:after="20" w:line="240" w:lineRule="auto"/>
              <w:jc w:val="left"/>
            </w:pPr>
            <w:r>
              <w:rPr>
                <w:rFonts w:ascii="Times New Roman" w:hAnsi="Times New Roman" w:eastAsia="宋体"/>
                <w:b w:val="0"/>
                <w:i w:val="0"/>
                <w:color w:val="000000"/>
                <w:sz w:val="21"/>
              </w:rPr>
              <w:t>NOx 排放/(mg/m³)</w:t>
            </w:r>
          </w:p>
        </w:tc>
        <w:tc>
          <w:tcPr>
            <w:tcW w:w="1134" w:type="dxa"/>
            <w:vAlign w:val="center"/>
          </w:tcPr>
          <w:p w14:paraId="0632FA7C">
            <w:pPr>
              <w:spacing w:before="20" w:after="20" w:line="240" w:lineRule="auto"/>
              <w:jc w:val="center"/>
            </w:pPr>
            <w:r>
              <w:rPr>
                <w:rFonts w:ascii="Times New Roman" w:hAnsi="Times New Roman" w:eastAsia="宋体"/>
                <w:b w:val="0"/>
                <w:i w:val="0"/>
                <w:color w:val="000000"/>
                <w:sz w:val="21"/>
              </w:rPr>
              <w:t>25.90</w:t>
            </w:r>
          </w:p>
        </w:tc>
        <w:tc>
          <w:tcPr>
            <w:tcW w:w="1134" w:type="dxa"/>
            <w:vAlign w:val="center"/>
          </w:tcPr>
          <w:p w14:paraId="27851718">
            <w:pPr>
              <w:spacing w:before="20" w:after="20" w:line="240" w:lineRule="auto"/>
              <w:jc w:val="center"/>
            </w:pPr>
            <w:r>
              <w:rPr>
                <w:rFonts w:ascii="Times New Roman" w:hAnsi="Times New Roman" w:eastAsia="宋体"/>
                <w:b w:val="0"/>
                <w:i w:val="0"/>
                <w:color w:val="000000"/>
                <w:sz w:val="21"/>
              </w:rPr>
              <w:t>119.91</w:t>
            </w:r>
          </w:p>
        </w:tc>
        <w:tc>
          <w:tcPr>
            <w:tcW w:w="1134" w:type="dxa"/>
            <w:vAlign w:val="center"/>
          </w:tcPr>
          <w:p w14:paraId="5D0093A4">
            <w:pPr>
              <w:spacing w:before="20" w:after="20" w:line="240" w:lineRule="auto"/>
              <w:jc w:val="center"/>
            </w:pPr>
            <w:r>
              <w:rPr>
                <w:rFonts w:ascii="Times New Roman" w:hAnsi="Times New Roman" w:eastAsia="宋体"/>
                <w:b w:val="0"/>
                <w:i w:val="0"/>
                <w:color w:val="000000"/>
                <w:sz w:val="21"/>
              </w:rPr>
              <w:t>65.30</w:t>
            </w:r>
          </w:p>
        </w:tc>
        <w:tc>
          <w:tcPr>
            <w:tcW w:w="1134" w:type="dxa"/>
            <w:vAlign w:val="center"/>
          </w:tcPr>
          <w:p w14:paraId="6617700D">
            <w:pPr>
              <w:spacing w:before="20" w:after="20" w:line="240" w:lineRule="auto"/>
              <w:jc w:val="center"/>
            </w:pPr>
            <w:r>
              <w:rPr>
                <w:rFonts w:ascii="Times New Roman" w:hAnsi="Times New Roman" w:eastAsia="宋体"/>
                <w:b w:val="0"/>
                <w:i w:val="0"/>
                <w:color w:val="000000"/>
                <w:sz w:val="21"/>
              </w:rPr>
              <w:t>目标</w:t>
            </w:r>
          </w:p>
        </w:tc>
      </w:tr>
    </w:tbl>
    <w:p w14:paraId="679552D3">
      <w:pPr>
        <w:spacing w:after="40" w:line="240" w:lineRule="auto"/>
      </w:pPr>
    </w:p>
    <w:p w14:paraId="6C9AD4CB">
      <w:pPr>
        <w:spacing w:before="0" w:after="0" w:line="360" w:lineRule="auto"/>
        <w:ind w:firstLine="480" w:firstLineChars="200"/>
        <w:jc w:val="both"/>
      </w:pPr>
      <w:r>
        <w:rPr>
          <w:rFonts w:ascii="Times New Roman" w:hAnsi="Times New Roman" w:eastAsia="宋体"/>
          <w:b w:val="0"/>
          <w:i w:val="0"/>
          <w:color w:val="000000"/>
          <w:sz w:val="24"/>
        </w:rPr>
        <w:t>其中环境温度 AT 存在 62 个负值样本，为冬季低温环境下的正常测量值，经物理合理性判断后予以保留。</w:t>
      </w:r>
    </w:p>
    <w:p w14:paraId="742E14F9">
      <w:pPr>
        <w:pStyle w:val="4"/>
        <w:spacing w:before="220" w:after="100" w:line="360" w:lineRule="auto"/>
      </w:pPr>
      <w:bookmarkStart w:id="16" w:name="_Toc7842"/>
      <w:r>
        <w:rPr>
          <w:rFonts w:ascii="Arial" w:hAnsi="Arial" w:eastAsia="黑体"/>
          <w:b/>
          <w:i w:val="0"/>
          <w:color w:val="000000"/>
          <w:sz w:val="28"/>
        </w:rPr>
        <w:t>3.3　数据预处理流程</w:t>
      </w:r>
      <w:bookmarkEnd w:id="16"/>
    </w:p>
    <w:p w14:paraId="6BFEFD7D">
      <w:pPr>
        <w:spacing w:before="0" w:after="0" w:line="360" w:lineRule="auto"/>
        <w:ind w:firstLine="480" w:firstLineChars="200"/>
        <w:jc w:val="both"/>
      </w:pPr>
      <w:r>
        <w:rPr>
          <w:rFonts w:ascii="Times New Roman" w:hAnsi="Times New Roman" w:eastAsia="宋体"/>
          <w:b w:val="0"/>
          <w:i w:val="0"/>
          <w:color w:val="000000"/>
          <w:sz w:val="24"/>
        </w:rPr>
        <w:t>数据预处理由可复现脚本 scripts/preprocess.py 完成，主要包括六个步骤：第一，读取并合并 2011—2015 五个年度 CSV 文件，增加年份列并保持时间先后顺序；第二，进行数据质量检查，统计缺失值、重复行并开展物理合理性检查；第三，删除 7 条完全重复样本，样本量由 36733 条降至 36726 条；第四，按年份划分训练集、验证集与测试集；第五，仅在训练集上拟合 StandardScaler 并对三个子集做标准化，避免验证、测试信息泄漏；第六，输出预处理数据、标准化器与预处理报告。预处理结果统计如表3-3所示。</w:t>
      </w:r>
    </w:p>
    <w:p w14:paraId="77C53178">
      <w:pPr>
        <w:spacing w:before="80" w:after="80" w:line="240" w:lineRule="auto"/>
        <w:jc w:val="center"/>
      </w:pPr>
      <w:r>
        <w:rPr>
          <w:rFonts w:ascii="Times New Roman" w:hAnsi="Times New Roman" w:eastAsia="宋体"/>
          <w:b/>
          <w:i w:val="0"/>
          <w:color w:val="000000"/>
          <w:sz w:val="21"/>
        </w:rPr>
        <w:t>表3-3　数据预处理结果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5896"/>
      </w:tblGrid>
      <w:tr w14:paraId="7014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608" w:type="dxa"/>
            <w:shd w:val="clear" w:color="auto" w:fill="F2F2F2"/>
            <w:vAlign w:val="center"/>
          </w:tcPr>
          <w:p w14:paraId="37BE3FC4">
            <w:pPr>
              <w:spacing w:before="20" w:after="20" w:line="240" w:lineRule="auto"/>
              <w:jc w:val="center"/>
            </w:pPr>
            <w:r>
              <w:rPr>
                <w:rFonts w:ascii="Times New Roman" w:hAnsi="Times New Roman" w:eastAsia="宋体"/>
                <w:b/>
                <w:i w:val="0"/>
                <w:color w:val="000000"/>
                <w:sz w:val="21"/>
              </w:rPr>
              <w:t>项目</w:t>
            </w:r>
          </w:p>
        </w:tc>
        <w:tc>
          <w:tcPr>
            <w:tcW w:w="5896" w:type="dxa"/>
            <w:shd w:val="clear" w:color="auto" w:fill="F2F2F2"/>
            <w:vAlign w:val="center"/>
          </w:tcPr>
          <w:p w14:paraId="62103D1E">
            <w:pPr>
              <w:spacing w:before="20" w:after="20" w:line="240" w:lineRule="auto"/>
              <w:jc w:val="center"/>
            </w:pPr>
            <w:r>
              <w:rPr>
                <w:rFonts w:ascii="Times New Roman" w:hAnsi="Times New Roman" w:eastAsia="宋体"/>
                <w:b/>
                <w:i w:val="0"/>
                <w:color w:val="000000"/>
                <w:sz w:val="21"/>
              </w:rPr>
              <w:t>数值/说明</w:t>
            </w:r>
          </w:p>
        </w:tc>
      </w:tr>
      <w:tr w14:paraId="7B9E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5EBA590B">
            <w:pPr>
              <w:spacing w:before="20" w:after="20" w:line="240" w:lineRule="auto"/>
              <w:jc w:val="left"/>
            </w:pPr>
            <w:r>
              <w:rPr>
                <w:rFonts w:ascii="Times New Roman" w:hAnsi="Times New Roman" w:eastAsia="宋体"/>
                <w:b w:val="0"/>
                <w:i w:val="0"/>
                <w:color w:val="000000"/>
                <w:sz w:val="21"/>
              </w:rPr>
              <w:t>原始样本数</w:t>
            </w:r>
          </w:p>
        </w:tc>
        <w:tc>
          <w:tcPr>
            <w:tcW w:w="5896" w:type="dxa"/>
            <w:vAlign w:val="center"/>
          </w:tcPr>
          <w:p w14:paraId="055FC920">
            <w:pPr>
              <w:spacing w:before="20" w:after="20" w:line="240" w:lineRule="auto"/>
              <w:jc w:val="left"/>
            </w:pPr>
            <w:r>
              <w:rPr>
                <w:rFonts w:ascii="Times New Roman" w:hAnsi="Times New Roman" w:eastAsia="宋体"/>
                <w:b w:val="0"/>
                <w:i w:val="0"/>
                <w:color w:val="000000"/>
                <w:sz w:val="21"/>
              </w:rPr>
              <w:t>36733 条</w:t>
            </w:r>
          </w:p>
        </w:tc>
      </w:tr>
      <w:tr w14:paraId="1559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5CCE68EA">
            <w:pPr>
              <w:spacing w:before="20" w:after="20" w:line="240" w:lineRule="auto"/>
              <w:jc w:val="left"/>
            </w:pPr>
            <w:r>
              <w:rPr>
                <w:rFonts w:ascii="Times New Roman" w:hAnsi="Times New Roman" w:eastAsia="宋体"/>
                <w:b w:val="0"/>
                <w:i w:val="0"/>
                <w:color w:val="000000"/>
                <w:sz w:val="21"/>
              </w:rPr>
              <w:t>缺失值总数</w:t>
            </w:r>
          </w:p>
        </w:tc>
        <w:tc>
          <w:tcPr>
            <w:tcW w:w="5896" w:type="dxa"/>
            <w:vAlign w:val="center"/>
          </w:tcPr>
          <w:p w14:paraId="72582046">
            <w:pPr>
              <w:spacing w:before="20" w:after="20" w:line="240" w:lineRule="auto"/>
              <w:jc w:val="left"/>
            </w:pPr>
            <w:r>
              <w:rPr>
                <w:rFonts w:ascii="Times New Roman" w:hAnsi="Times New Roman" w:eastAsia="宋体"/>
                <w:b w:val="0"/>
                <w:i w:val="0"/>
                <w:color w:val="000000"/>
                <w:sz w:val="21"/>
              </w:rPr>
              <w:t>0</w:t>
            </w:r>
          </w:p>
        </w:tc>
      </w:tr>
      <w:tr w14:paraId="16E2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4F7B25CF">
            <w:pPr>
              <w:spacing w:before="20" w:after="20" w:line="240" w:lineRule="auto"/>
              <w:jc w:val="left"/>
            </w:pPr>
            <w:r>
              <w:rPr>
                <w:rFonts w:ascii="Times New Roman" w:hAnsi="Times New Roman" w:eastAsia="宋体"/>
                <w:b w:val="0"/>
                <w:i w:val="0"/>
                <w:color w:val="000000"/>
                <w:sz w:val="21"/>
              </w:rPr>
              <w:t>删除重复行</w:t>
            </w:r>
          </w:p>
        </w:tc>
        <w:tc>
          <w:tcPr>
            <w:tcW w:w="5896" w:type="dxa"/>
            <w:vAlign w:val="center"/>
          </w:tcPr>
          <w:p w14:paraId="79D04DAF">
            <w:pPr>
              <w:spacing w:before="20" w:after="20" w:line="240" w:lineRule="auto"/>
              <w:jc w:val="left"/>
            </w:pPr>
            <w:r>
              <w:rPr>
                <w:rFonts w:ascii="Times New Roman" w:hAnsi="Times New Roman" w:eastAsia="宋体"/>
                <w:b w:val="0"/>
                <w:i w:val="0"/>
                <w:color w:val="000000"/>
                <w:sz w:val="21"/>
              </w:rPr>
              <w:t>7 条</w:t>
            </w:r>
          </w:p>
        </w:tc>
      </w:tr>
      <w:tr w14:paraId="1C29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7B0117F6">
            <w:pPr>
              <w:spacing w:before="20" w:after="20" w:line="240" w:lineRule="auto"/>
              <w:jc w:val="left"/>
            </w:pPr>
            <w:r>
              <w:rPr>
                <w:rFonts w:ascii="Times New Roman" w:hAnsi="Times New Roman" w:eastAsia="宋体"/>
                <w:b w:val="0"/>
                <w:i w:val="0"/>
                <w:color w:val="000000"/>
                <w:sz w:val="21"/>
              </w:rPr>
              <w:t>去重后样本数</w:t>
            </w:r>
          </w:p>
        </w:tc>
        <w:tc>
          <w:tcPr>
            <w:tcW w:w="5896" w:type="dxa"/>
            <w:vAlign w:val="center"/>
          </w:tcPr>
          <w:p w14:paraId="48F7F863">
            <w:pPr>
              <w:spacing w:before="20" w:after="20" w:line="240" w:lineRule="auto"/>
              <w:jc w:val="left"/>
            </w:pPr>
            <w:r>
              <w:rPr>
                <w:rFonts w:ascii="Times New Roman" w:hAnsi="Times New Roman" w:eastAsia="宋体"/>
                <w:b w:val="0"/>
                <w:i w:val="0"/>
                <w:color w:val="000000"/>
                <w:sz w:val="21"/>
              </w:rPr>
              <w:t>36726 条</w:t>
            </w:r>
          </w:p>
        </w:tc>
      </w:tr>
      <w:tr w14:paraId="7D80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158AAD9F">
            <w:pPr>
              <w:spacing w:before="20" w:after="20" w:line="240" w:lineRule="auto"/>
              <w:jc w:val="left"/>
            </w:pPr>
            <w:r>
              <w:rPr>
                <w:rFonts w:ascii="Times New Roman" w:hAnsi="Times New Roman" w:eastAsia="宋体"/>
                <w:b w:val="0"/>
                <w:i w:val="0"/>
                <w:color w:val="000000"/>
                <w:sz w:val="21"/>
              </w:rPr>
              <w:t>训练集（2011—2013）</w:t>
            </w:r>
          </w:p>
        </w:tc>
        <w:tc>
          <w:tcPr>
            <w:tcW w:w="5896" w:type="dxa"/>
            <w:vAlign w:val="center"/>
          </w:tcPr>
          <w:p w14:paraId="493D4FA7">
            <w:pPr>
              <w:spacing w:before="20" w:after="20" w:line="240" w:lineRule="auto"/>
              <w:jc w:val="left"/>
            </w:pPr>
            <w:r>
              <w:rPr>
                <w:rFonts w:ascii="Times New Roman" w:hAnsi="Times New Roman" w:eastAsia="宋体"/>
                <w:b w:val="0"/>
                <w:i w:val="0"/>
                <w:color w:val="000000"/>
                <w:sz w:val="21"/>
              </w:rPr>
              <w:t>22191 条</w:t>
            </w:r>
          </w:p>
        </w:tc>
      </w:tr>
      <w:tr w14:paraId="10A4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4D2E59B4">
            <w:pPr>
              <w:spacing w:before="20" w:after="20" w:line="240" w:lineRule="auto"/>
              <w:jc w:val="left"/>
            </w:pPr>
            <w:r>
              <w:rPr>
                <w:rFonts w:ascii="Times New Roman" w:hAnsi="Times New Roman" w:eastAsia="宋体"/>
                <w:b w:val="0"/>
                <w:i w:val="0"/>
                <w:color w:val="000000"/>
                <w:sz w:val="21"/>
              </w:rPr>
              <w:t>验证集（2014）</w:t>
            </w:r>
          </w:p>
        </w:tc>
        <w:tc>
          <w:tcPr>
            <w:tcW w:w="5896" w:type="dxa"/>
            <w:vAlign w:val="center"/>
          </w:tcPr>
          <w:p w14:paraId="42630C07">
            <w:pPr>
              <w:spacing w:before="20" w:after="20" w:line="240" w:lineRule="auto"/>
              <w:jc w:val="left"/>
            </w:pPr>
            <w:r>
              <w:rPr>
                <w:rFonts w:ascii="Times New Roman" w:hAnsi="Times New Roman" w:eastAsia="宋体"/>
                <w:b w:val="0"/>
                <w:i w:val="0"/>
                <w:color w:val="000000"/>
                <w:sz w:val="21"/>
              </w:rPr>
              <w:t>7151 条</w:t>
            </w:r>
          </w:p>
        </w:tc>
      </w:tr>
      <w:tr w14:paraId="1A60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1A785F5E">
            <w:pPr>
              <w:spacing w:before="20" w:after="20" w:line="240" w:lineRule="auto"/>
              <w:jc w:val="left"/>
            </w:pPr>
            <w:r>
              <w:rPr>
                <w:rFonts w:ascii="Times New Roman" w:hAnsi="Times New Roman" w:eastAsia="宋体"/>
                <w:b w:val="0"/>
                <w:i w:val="0"/>
                <w:color w:val="000000"/>
                <w:sz w:val="21"/>
              </w:rPr>
              <w:t>测试集（2015）</w:t>
            </w:r>
          </w:p>
        </w:tc>
        <w:tc>
          <w:tcPr>
            <w:tcW w:w="5896" w:type="dxa"/>
            <w:vAlign w:val="center"/>
          </w:tcPr>
          <w:p w14:paraId="5E841906">
            <w:pPr>
              <w:spacing w:before="20" w:after="20" w:line="240" w:lineRule="auto"/>
              <w:jc w:val="left"/>
            </w:pPr>
            <w:r>
              <w:rPr>
                <w:rFonts w:ascii="Times New Roman" w:hAnsi="Times New Roman" w:eastAsia="宋体"/>
                <w:b w:val="0"/>
                <w:i w:val="0"/>
                <w:color w:val="000000"/>
                <w:sz w:val="21"/>
              </w:rPr>
              <w:t>7384 条</w:t>
            </w:r>
          </w:p>
        </w:tc>
      </w:tr>
      <w:tr w14:paraId="5D05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7515C824">
            <w:pPr>
              <w:spacing w:before="20" w:after="20" w:line="240" w:lineRule="auto"/>
              <w:jc w:val="left"/>
            </w:pPr>
            <w:r>
              <w:rPr>
                <w:rFonts w:ascii="Times New Roman" w:hAnsi="Times New Roman" w:eastAsia="宋体"/>
                <w:b w:val="0"/>
                <w:i w:val="0"/>
                <w:color w:val="000000"/>
                <w:sz w:val="21"/>
              </w:rPr>
              <w:t>标准化方式</w:t>
            </w:r>
          </w:p>
        </w:tc>
        <w:tc>
          <w:tcPr>
            <w:tcW w:w="5896" w:type="dxa"/>
            <w:vAlign w:val="center"/>
          </w:tcPr>
          <w:p w14:paraId="01A3977F">
            <w:pPr>
              <w:spacing w:before="20" w:after="20" w:line="240" w:lineRule="auto"/>
              <w:jc w:val="left"/>
            </w:pPr>
            <w:r>
              <w:rPr>
                <w:rFonts w:ascii="Times New Roman" w:hAnsi="Times New Roman" w:eastAsia="宋体"/>
                <w:b w:val="0"/>
                <w:i w:val="0"/>
                <w:color w:val="000000"/>
                <w:sz w:val="21"/>
              </w:rPr>
              <w:t>StandardScaler，仅在训练集拟合，保存 scaler.joblib</w:t>
            </w:r>
          </w:p>
        </w:tc>
      </w:tr>
    </w:tbl>
    <w:p w14:paraId="2CFE9C32">
      <w:pPr>
        <w:spacing w:after="40" w:line="240" w:lineRule="auto"/>
      </w:pPr>
    </w:p>
    <w:p w14:paraId="07FBE455">
      <w:pPr>
        <w:spacing w:before="0" w:after="0" w:line="360" w:lineRule="auto"/>
        <w:ind w:firstLine="480" w:firstLineChars="200"/>
        <w:jc w:val="both"/>
      </w:pPr>
      <w:r>
        <w:rPr>
          <w:rFonts w:ascii="Times New Roman" w:hAnsi="Times New Roman" w:eastAsia="宋体"/>
          <w:b w:val="0"/>
          <w:i w:val="0"/>
          <w:color w:val="000000"/>
          <w:sz w:val="24"/>
        </w:rPr>
        <w:t>之所以按年份而非随机方式划分，是因为数据本质为时间序列型小时级监测数据，随机切分会使相邻时段样本同时落入训练集与测试集而造成信息泄漏；按年份切分更贴近“用历史数据预测未来工况”的真实使用场景，评估结论也更为客观。</w:t>
      </w:r>
    </w:p>
    <w:p w14:paraId="2817B19D">
      <w:pPr>
        <w:pStyle w:val="4"/>
        <w:spacing w:before="220" w:after="100" w:line="360" w:lineRule="auto"/>
      </w:pPr>
      <w:bookmarkStart w:id="17" w:name="_Toc19888"/>
      <w:r>
        <w:rPr>
          <w:rFonts w:ascii="Arial" w:hAnsi="Arial" w:eastAsia="黑体"/>
          <w:b/>
          <w:i w:val="0"/>
          <w:color w:val="000000"/>
          <w:sz w:val="28"/>
        </w:rPr>
        <w:t>3.4　数据探查与数据漂移发现</w:t>
      </w:r>
      <w:bookmarkEnd w:id="17"/>
    </w:p>
    <w:p w14:paraId="4D062253">
      <w:pPr>
        <w:spacing w:before="0" w:after="0" w:line="360" w:lineRule="auto"/>
        <w:ind w:firstLine="480" w:firstLineChars="200"/>
        <w:jc w:val="both"/>
      </w:pPr>
      <w:r>
        <w:rPr>
          <w:rFonts w:ascii="Times New Roman" w:hAnsi="Times New Roman" w:eastAsia="宋体"/>
          <w:b w:val="0"/>
          <w:i w:val="0"/>
          <w:color w:val="000000"/>
          <w:sz w:val="24"/>
        </w:rPr>
        <w:t>在模型开发阶段对目标变量按年份进行分组探查时发现，NOx 排放均值存在明显的跨年漂移现象：2011—2013 年 NOx 均值约为 68—70 mg/m³，而 2014、2015 年下降至约 60 mg/m³。这一现象直接影响模型的跨年外推效果，后续第4章将结合模型指标说明其影响与处理策略。数据探查结论同时提示，工业时序建模不能仅关注随机划分下的拟合精度，还必须考察数据分布随时间的稳定性。</w:t>
      </w:r>
    </w:p>
    <w:p w14:paraId="5EECF6B3">
      <w:r>
        <w:br w:type="page"/>
      </w:r>
    </w:p>
    <w:p w14:paraId="287B98D3">
      <w:pPr>
        <w:pStyle w:val="3"/>
        <w:spacing w:before="280" w:after="120" w:line="360" w:lineRule="auto"/>
      </w:pPr>
      <w:bookmarkStart w:id="18" w:name="_Toc30403"/>
      <w:r>
        <w:rPr>
          <w:rFonts w:ascii="Arial" w:hAnsi="Arial" w:eastAsia="黑体"/>
          <w:b/>
          <w:i w:val="0"/>
          <w:color w:val="000000"/>
          <w:sz w:val="32"/>
        </w:rPr>
        <w:t>第4章　系统实现</w:t>
      </w:r>
      <w:bookmarkEnd w:id="18"/>
    </w:p>
    <w:p w14:paraId="2F1B4808">
      <w:pPr>
        <w:pStyle w:val="4"/>
        <w:spacing w:before="220" w:after="100" w:line="360" w:lineRule="auto"/>
      </w:pPr>
      <w:bookmarkStart w:id="19" w:name="_Toc3268"/>
      <w:r>
        <w:rPr>
          <w:rFonts w:ascii="Arial" w:hAnsi="Arial" w:eastAsia="黑体"/>
          <w:b/>
          <w:i w:val="0"/>
          <w:color w:val="000000"/>
          <w:sz w:val="28"/>
        </w:rPr>
        <w:t>4.1　后端总体实现</w:t>
      </w:r>
      <w:bookmarkEnd w:id="19"/>
    </w:p>
    <w:p w14:paraId="73594C64">
      <w:pPr>
        <w:spacing w:before="0" w:after="0" w:line="360" w:lineRule="auto"/>
        <w:ind w:firstLine="480" w:firstLineChars="200"/>
        <w:jc w:val="both"/>
      </w:pPr>
      <w:r>
        <w:rPr>
          <w:rFonts w:ascii="Times New Roman" w:hAnsi="Times New Roman" w:eastAsia="宋体"/>
          <w:b w:val="0"/>
          <w:i w:val="0"/>
          <w:color w:val="000000"/>
          <w:sz w:val="24"/>
        </w:rPr>
        <w:t>后端采用 Python Flask 框架与应用工厂模式，create_app() 负责创建应用、注册蓝图、初始化数据库表结构与种子设备数据。代码按职责分层组织：config.py 集中管理特征列、参数寻优边界、排放限值与数据库配置；models 目录封装三个算法模块；services/business.py 为业务服务层，编排算法调用与数据库存档；database/db.py 为数据访问层；api/routes.py 以蓝图形式对外提供 RESTful 接口。分层结构使算法逻辑、业务规则与接口表现相互独立，单个模块可独立测试与替换。模型对象采用单例模式延迟加载，首次请求时载入训练好的模型文件，之后复用，降低重复加载开销。</w:t>
      </w:r>
    </w:p>
    <w:p w14:paraId="2ABC9488">
      <w:pPr>
        <w:pStyle w:val="4"/>
        <w:spacing w:before="220" w:after="100" w:line="360" w:lineRule="auto"/>
      </w:pPr>
      <w:bookmarkStart w:id="20" w:name="_Toc15169"/>
      <w:r>
        <w:rPr>
          <w:rFonts w:ascii="Arial" w:hAnsi="Arial" w:eastAsia="黑体"/>
          <w:b/>
          <w:i w:val="0"/>
          <w:color w:val="000000"/>
          <w:sz w:val="28"/>
        </w:rPr>
        <w:t>4.2　数据库访问层实现</w:t>
      </w:r>
      <w:bookmarkEnd w:id="20"/>
    </w:p>
    <w:p w14:paraId="7605D368">
      <w:pPr>
        <w:spacing w:before="0" w:after="0" w:line="360" w:lineRule="auto"/>
        <w:ind w:firstLine="480" w:firstLineChars="200"/>
        <w:jc w:val="both"/>
      </w:pPr>
      <w:r>
        <w:rPr>
          <w:rFonts w:ascii="Times New Roman" w:hAnsi="Times New Roman" w:eastAsia="宋体"/>
          <w:b w:val="0"/>
          <w:i w:val="0"/>
          <w:color w:val="000000"/>
          <w:sz w:val="24"/>
        </w:rPr>
        <w:t>考虑到方案设计选用 MySQL 8.0，而开发环境中 MySQL 账户认证未就绪，数据库访问层设计为“MySQL 优先、连接失败自动降级 SQLite”的双后端结构：启动时优先按配置连接 MySQL，若连接抛出异常则自动切换至本地 SQLite 文件并打印提示，从而保证系统在任意环境下均可演示。两套后端共用同一套建表语句与增删查方法，业务层无需感知具体数据库；当提供正确的 MySQL 账户（通过 DB_USER、DB_PASSWORD 等环境变量配置）后无需改动代码即可切换。数据访问层同时封装了记录存档、日志写入、记录查询与总览统计等方法，统计结果直接供运行总览页使用。</w:t>
      </w:r>
    </w:p>
    <w:p w14:paraId="06B2502E">
      <w:pPr>
        <w:pStyle w:val="4"/>
        <w:spacing w:before="220" w:after="100" w:line="360" w:lineRule="auto"/>
      </w:pPr>
      <w:bookmarkStart w:id="21" w:name="_Toc12736"/>
      <w:r>
        <w:rPr>
          <w:rFonts w:ascii="Arial" w:hAnsi="Arial" w:eastAsia="黑体"/>
          <w:b/>
          <w:i w:val="0"/>
          <w:color w:val="000000"/>
          <w:sz w:val="28"/>
        </w:rPr>
        <w:t>4.3　XGBoost 排放预测模块</w:t>
      </w:r>
      <w:bookmarkEnd w:id="21"/>
    </w:p>
    <w:p w14:paraId="1EA62DD1">
      <w:pPr>
        <w:spacing w:before="0" w:after="0" w:line="360" w:lineRule="auto"/>
        <w:ind w:firstLine="480" w:firstLineChars="200"/>
        <w:jc w:val="both"/>
      </w:pPr>
      <w:r>
        <w:rPr>
          <w:rFonts w:ascii="Times New Roman" w:hAnsi="Times New Roman" w:eastAsia="宋体"/>
          <w:b w:val="0"/>
          <w:i w:val="0"/>
          <w:color w:val="000000"/>
          <w:sz w:val="24"/>
        </w:rPr>
        <w:t>排放预测模块对应监督学习技术方向，使用 XGBoost 梯度提升回归模型。考虑到 CO、NOx 的生成与机组实际能量产出 TEY 密切相关，而用户在预测时通常只能提供可观测、可调的 8 项运行参数，模块设计为两阶段预测链：第一阶段由 8 项参数（AT、AP、AH、AFDP、GTEP、TIT、TAT、CDP）回归预测 TEY；第二阶段将预测得到的 TEY 拼入特征构成 9 维输入，再分别回归预测 CO 与 NOx。该设计使预测接口与优化接口共享同一条预测链，保证了架构统一。</w:t>
      </w:r>
    </w:p>
    <w:p w14:paraId="73C26A74">
      <w:pPr>
        <w:spacing w:before="0" w:after="0" w:line="360" w:lineRule="auto"/>
        <w:ind w:firstLine="480" w:firstLineChars="200"/>
        <w:jc w:val="both"/>
      </w:pPr>
      <w:r>
        <w:rPr>
          <w:rFonts w:ascii="Times New Roman" w:hAnsi="Times New Roman" w:eastAsia="宋体"/>
          <w:b w:val="0"/>
          <w:i w:val="0"/>
          <w:color w:val="000000"/>
          <w:sz w:val="24"/>
        </w:rPr>
        <w:t>在得到排放浓度后，模块进一步完成排放等级判定：NOx 按 50、75、100 mg/m³，CO 按 10、20、30 mg/m³ 的阈值依次判定为优、良、中、差，综合等级取二者中较差者，并依据 NOx≤100、CO≤30 mg/m³ 的限值判断是否达标。XGBoost 统一采用 600 棵树、学习率 0.05、最大深度 6、行列采样 0.9，并设置早停防止过拟合。</w:t>
      </w:r>
    </w:p>
    <w:p w14:paraId="7CA0E133">
      <w:pPr>
        <w:pStyle w:val="4"/>
        <w:spacing w:before="220" w:after="100" w:line="360" w:lineRule="auto"/>
      </w:pPr>
      <w:bookmarkStart w:id="22" w:name="_Toc3601"/>
      <w:r>
        <w:rPr>
          <w:rFonts w:ascii="Arial" w:hAnsi="Arial" w:eastAsia="黑体"/>
          <w:b/>
          <w:i w:val="0"/>
          <w:color w:val="000000"/>
          <w:sz w:val="28"/>
        </w:rPr>
        <w:t>4.4　PSO 参数优化模块</w:t>
      </w:r>
      <w:bookmarkEnd w:id="22"/>
    </w:p>
    <w:p w14:paraId="5BEBEF27">
      <w:pPr>
        <w:spacing w:before="0" w:after="0" w:line="360" w:lineRule="auto"/>
        <w:ind w:firstLine="480" w:firstLineChars="200"/>
        <w:jc w:val="both"/>
      </w:pPr>
      <w:r>
        <w:rPr>
          <w:rFonts w:ascii="Times New Roman" w:hAnsi="Times New Roman" w:eastAsia="宋体"/>
          <w:b w:val="0"/>
          <w:i w:val="0"/>
          <w:color w:val="000000"/>
          <w:sz w:val="24"/>
        </w:rPr>
        <w:t>参数优化模块对应智能优化技术方向，实现了粒子群优化算法。为减少第三方依赖并便于在答辩中讲清算法逻辑，本模块未引入 pyswarm 等现成库，而是依据 PSO 原理自行实现。算法在 8 维参数空间中布置若干粒子（默认 30 个），以惯性权重 w=0.7、个体学习因子 c1=1.5、群体学习因子 c2=1.5 迭代更新速度与位置（默认 60 代），并将粒子位置约束在由数据分位数外扩得到的参数合理区间内。</w:t>
      </w:r>
    </w:p>
    <w:p w14:paraId="720EA4A1">
      <w:pPr>
        <w:spacing w:before="0" w:after="0" w:line="360" w:lineRule="auto"/>
        <w:ind w:firstLine="480" w:firstLineChars="200"/>
        <w:jc w:val="both"/>
      </w:pPr>
      <w:r>
        <w:rPr>
          <w:rFonts w:ascii="Times New Roman" w:hAnsi="Times New Roman" w:eastAsia="宋体"/>
          <w:b w:val="0"/>
          <w:i w:val="0"/>
          <w:color w:val="000000"/>
          <w:sz w:val="24"/>
        </w:rPr>
        <w:t>适应度函数设计体现了“达标约束下最大化能量产出”的业务目标：对每个候选参数组合调用 4.3 节的预测链得到 TEY、CO、NOx，以 TEY 作为收益，当 CO 或 NOx 超过排放限值时按超标比例施加惩罚，适应度取“TEY 减去惩罚项”，从而引导粒子群在排放可行域内寻找能量产出最高的参数组合。寻优结束后，模块输出最优参数、对应预测排放与达标情况；若用户提供了基准参数，还会计算并输出 TEY 提升量、提升百分比与排放变化量。实测在典型工况基准上，优化后 TEY 可提升约 30%，且排放仍满足限值。</w:t>
      </w:r>
    </w:p>
    <w:p w14:paraId="62D7FC5F">
      <w:pPr>
        <w:pStyle w:val="4"/>
        <w:spacing w:before="220" w:after="100" w:line="360" w:lineRule="auto"/>
      </w:pPr>
      <w:bookmarkStart w:id="23" w:name="_Toc10401"/>
      <w:r>
        <w:rPr>
          <w:rFonts w:ascii="Arial" w:hAnsi="Arial" w:eastAsia="黑体"/>
          <w:b/>
          <w:i w:val="0"/>
          <w:color w:val="000000"/>
          <w:sz w:val="28"/>
        </w:rPr>
        <w:t>4.5　孤立森林异常检测模块</w:t>
      </w:r>
      <w:bookmarkEnd w:id="23"/>
    </w:p>
    <w:p w14:paraId="45C027B1">
      <w:pPr>
        <w:spacing w:before="0" w:after="0" w:line="360" w:lineRule="auto"/>
        <w:ind w:firstLine="480" w:firstLineChars="200"/>
        <w:jc w:val="both"/>
      </w:pPr>
      <w:r>
        <w:rPr>
          <w:rFonts w:ascii="Times New Roman" w:hAnsi="Times New Roman" w:eastAsia="宋体"/>
          <w:b w:val="0"/>
          <w:i w:val="0"/>
          <w:color w:val="000000"/>
          <w:sz w:val="24"/>
        </w:rPr>
        <w:t>异常检测模块对应无监督学习技术方向，使用孤立森林算法在全量正常工况数据上构建监测基准（200 棵树，异常比例 contamination 设为 0.05）。对输入的 9 项特征，模型通过 decision_function 输出异常分值（分值越负表示越偏离正常分布），通过 predict 输出正常或异常标签。模块进一步将异常程度划分为四级预警：分值不低于 -0.10 且模型判为正常时为“正常”；异常样本中分值处于 -0.20 至 -0.10 为黄色预警、-0.35 至 -0.20 为橙色预警、低于 -0.35 为红色预警，并为每个等级生成相应的处置建议描述。模块还提供异常特征贡献定位方法，通过比较样本与正常基准中位数的归一化偏差，辅助判断是哪些参数偏离最为明显。</w:t>
      </w:r>
    </w:p>
    <w:p w14:paraId="495DC06A">
      <w:pPr>
        <w:pStyle w:val="4"/>
        <w:spacing w:before="220" w:after="100" w:line="360" w:lineRule="auto"/>
      </w:pPr>
      <w:bookmarkStart w:id="24" w:name="_Toc15768"/>
      <w:r>
        <w:rPr>
          <w:rFonts w:ascii="Arial" w:hAnsi="Arial" w:eastAsia="黑体"/>
          <w:b/>
          <w:i w:val="0"/>
          <w:color w:val="000000"/>
          <w:sz w:val="28"/>
        </w:rPr>
        <w:t>4.6　模型训练与效果评估</w:t>
      </w:r>
      <w:bookmarkEnd w:id="24"/>
    </w:p>
    <w:p w14:paraId="3DA5C5AF">
      <w:pPr>
        <w:spacing w:before="0" w:after="0" w:line="360" w:lineRule="auto"/>
        <w:ind w:firstLine="480" w:firstLineChars="200"/>
        <w:jc w:val="both"/>
      </w:pPr>
      <w:r>
        <w:rPr>
          <w:rFonts w:ascii="Times New Roman" w:hAnsi="Times New Roman" w:eastAsia="宋体"/>
          <w:b w:val="0"/>
          <w:i w:val="0"/>
          <w:color w:val="000000"/>
          <w:sz w:val="24"/>
        </w:rPr>
        <w:t>模型训练由 backend/train_models.py 完成。考虑实时预测场景应充分利用全部历史数据，部署模型采用全量 36726 条样本训练、内部随机留出 10% 评估；同时为客观评估对未来年份的外推能力，额外进行了“训练集为 2011—2014、测试集为 2015”的按年跨年外推实验。两类评估结果分别如表4-1、表4-2所示。</w:t>
      </w:r>
    </w:p>
    <w:p w14:paraId="73C9ED8B">
      <w:pPr>
        <w:spacing w:before="80" w:after="80" w:line="240" w:lineRule="auto"/>
        <w:jc w:val="center"/>
      </w:pPr>
      <w:r>
        <w:rPr>
          <w:rFonts w:ascii="Times New Roman" w:hAnsi="Times New Roman" w:eastAsia="宋体"/>
          <w:b/>
          <w:i w:val="0"/>
          <w:color w:val="000000"/>
          <w:sz w:val="21"/>
        </w:rPr>
        <w:t>表4-1　部署模型随机留出评估结果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361"/>
        <w:gridCol w:w="1474"/>
        <w:gridCol w:w="1474"/>
        <w:gridCol w:w="1474"/>
      </w:tblGrid>
      <w:tr w14:paraId="4A0E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F2F2F2"/>
            <w:vAlign w:val="center"/>
          </w:tcPr>
          <w:p w14:paraId="6A5DA98E">
            <w:pPr>
              <w:spacing w:before="20" w:after="20" w:line="240" w:lineRule="auto"/>
              <w:jc w:val="center"/>
            </w:pPr>
            <w:r>
              <w:rPr>
                <w:rFonts w:ascii="Times New Roman" w:hAnsi="Times New Roman" w:eastAsia="宋体"/>
                <w:b/>
                <w:i w:val="0"/>
                <w:color w:val="000000"/>
                <w:sz w:val="21"/>
              </w:rPr>
              <w:t>模型</w:t>
            </w:r>
          </w:p>
        </w:tc>
        <w:tc>
          <w:tcPr>
            <w:tcW w:w="1361" w:type="dxa"/>
            <w:shd w:val="clear" w:color="auto" w:fill="F2F2F2"/>
            <w:vAlign w:val="center"/>
          </w:tcPr>
          <w:p w14:paraId="7096CBBA">
            <w:pPr>
              <w:spacing w:before="20" w:after="20" w:line="240" w:lineRule="auto"/>
              <w:jc w:val="center"/>
            </w:pPr>
            <w:r>
              <w:rPr>
                <w:rFonts w:ascii="Times New Roman" w:hAnsi="Times New Roman" w:eastAsia="宋体"/>
                <w:b/>
                <w:i w:val="0"/>
                <w:color w:val="000000"/>
                <w:sz w:val="21"/>
              </w:rPr>
              <w:t>输入</w:t>
            </w:r>
          </w:p>
        </w:tc>
        <w:tc>
          <w:tcPr>
            <w:tcW w:w="1474" w:type="dxa"/>
            <w:shd w:val="clear" w:color="auto" w:fill="F2F2F2"/>
            <w:vAlign w:val="center"/>
          </w:tcPr>
          <w:p w14:paraId="35BAD673">
            <w:pPr>
              <w:spacing w:before="20" w:after="20" w:line="240" w:lineRule="auto"/>
              <w:jc w:val="center"/>
            </w:pPr>
            <w:r>
              <w:rPr>
                <w:rFonts w:ascii="Times New Roman" w:hAnsi="Times New Roman" w:eastAsia="宋体"/>
                <w:b/>
                <w:i w:val="0"/>
                <w:color w:val="000000"/>
                <w:sz w:val="21"/>
              </w:rPr>
              <w:t>R²</w:t>
            </w:r>
          </w:p>
        </w:tc>
        <w:tc>
          <w:tcPr>
            <w:tcW w:w="1474" w:type="dxa"/>
            <w:shd w:val="clear" w:color="auto" w:fill="F2F2F2"/>
            <w:vAlign w:val="center"/>
          </w:tcPr>
          <w:p w14:paraId="404E2BA5">
            <w:pPr>
              <w:spacing w:before="20" w:after="20" w:line="240" w:lineRule="auto"/>
              <w:jc w:val="center"/>
            </w:pPr>
            <w:r>
              <w:rPr>
                <w:rFonts w:ascii="Times New Roman" w:hAnsi="Times New Roman" w:eastAsia="宋体"/>
                <w:b/>
                <w:i w:val="0"/>
                <w:color w:val="000000"/>
                <w:sz w:val="21"/>
              </w:rPr>
              <w:t>MAE</w:t>
            </w:r>
          </w:p>
        </w:tc>
        <w:tc>
          <w:tcPr>
            <w:tcW w:w="1474" w:type="dxa"/>
            <w:shd w:val="clear" w:color="auto" w:fill="F2F2F2"/>
            <w:vAlign w:val="center"/>
          </w:tcPr>
          <w:p w14:paraId="03846B1B">
            <w:pPr>
              <w:spacing w:before="20" w:after="20" w:line="240" w:lineRule="auto"/>
              <w:jc w:val="center"/>
            </w:pPr>
            <w:r>
              <w:rPr>
                <w:rFonts w:ascii="Times New Roman" w:hAnsi="Times New Roman" w:eastAsia="宋体"/>
                <w:b/>
                <w:i w:val="0"/>
                <w:color w:val="000000"/>
                <w:sz w:val="21"/>
              </w:rPr>
              <w:t>RMSE</w:t>
            </w:r>
          </w:p>
        </w:tc>
      </w:tr>
      <w:tr w14:paraId="1940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830C94C">
            <w:pPr>
              <w:spacing w:before="20" w:after="20" w:line="240" w:lineRule="auto"/>
              <w:jc w:val="left"/>
            </w:pPr>
            <w:r>
              <w:rPr>
                <w:rFonts w:ascii="Times New Roman" w:hAnsi="Times New Roman" w:eastAsia="宋体"/>
                <w:b w:val="0"/>
                <w:i w:val="0"/>
                <w:color w:val="000000"/>
                <w:sz w:val="21"/>
              </w:rPr>
              <w:t>TEY 能量产出</w:t>
            </w:r>
          </w:p>
        </w:tc>
        <w:tc>
          <w:tcPr>
            <w:tcW w:w="1361" w:type="dxa"/>
            <w:vAlign w:val="center"/>
          </w:tcPr>
          <w:p w14:paraId="47DA0355">
            <w:pPr>
              <w:spacing w:before="20" w:after="20" w:line="240" w:lineRule="auto"/>
              <w:jc w:val="center"/>
            </w:pPr>
            <w:r>
              <w:rPr>
                <w:rFonts w:ascii="Times New Roman" w:hAnsi="Times New Roman" w:eastAsia="宋体"/>
                <w:b w:val="0"/>
                <w:i w:val="0"/>
                <w:color w:val="000000"/>
                <w:sz w:val="21"/>
              </w:rPr>
              <w:t>8 特征</w:t>
            </w:r>
          </w:p>
        </w:tc>
        <w:tc>
          <w:tcPr>
            <w:tcW w:w="1474" w:type="dxa"/>
            <w:vAlign w:val="center"/>
          </w:tcPr>
          <w:p w14:paraId="6E44039E">
            <w:pPr>
              <w:spacing w:before="20" w:after="20" w:line="240" w:lineRule="auto"/>
              <w:jc w:val="center"/>
            </w:pPr>
            <w:r>
              <w:rPr>
                <w:rFonts w:ascii="Times New Roman" w:hAnsi="Times New Roman" w:eastAsia="宋体"/>
                <w:b w:val="0"/>
                <w:i w:val="0"/>
                <w:color w:val="000000"/>
                <w:sz w:val="21"/>
              </w:rPr>
              <w:t>0.9986</w:t>
            </w:r>
          </w:p>
        </w:tc>
        <w:tc>
          <w:tcPr>
            <w:tcW w:w="1474" w:type="dxa"/>
            <w:vAlign w:val="center"/>
          </w:tcPr>
          <w:p w14:paraId="63B3CE9F">
            <w:pPr>
              <w:spacing w:before="20" w:after="20" w:line="240" w:lineRule="auto"/>
              <w:jc w:val="center"/>
            </w:pPr>
            <w:r>
              <w:rPr>
                <w:rFonts w:ascii="Times New Roman" w:hAnsi="Times New Roman" w:eastAsia="宋体"/>
                <w:b w:val="0"/>
                <w:i w:val="0"/>
                <w:color w:val="000000"/>
                <w:sz w:val="21"/>
              </w:rPr>
              <w:t>0.4263</w:t>
            </w:r>
          </w:p>
        </w:tc>
        <w:tc>
          <w:tcPr>
            <w:tcW w:w="1474" w:type="dxa"/>
            <w:vAlign w:val="center"/>
          </w:tcPr>
          <w:p w14:paraId="7EBCADE9">
            <w:pPr>
              <w:spacing w:before="20" w:after="20" w:line="240" w:lineRule="auto"/>
              <w:jc w:val="center"/>
            </w:pPr>
            <w:r>
              <w:rPr>
                <w:rFonts w:ascii="Times New Roman" w:hAnsi="Times New Roman" w:eastAsia="宋体"/>
                <w:b w:val="0"/>
                <w:i w:val="0"/>
                <w:color w:val="000000"/>
                <w:sz w:val="21"/>
              </w:rPr>
              <w:t>0.5887</w:t>
            </w:r>
          </w:p>
        </w:tc>
      </w:tr>
      <w:tr w14:paraId="397B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B651140">
            <w:pPr>
              <w:spacing w:before="20" w:after="20" w:line="240" w:lineRule="auto"/>
              <w:jc w:val="left"/>
            </w:pPr>
            <w:r>
              <w:rPr>
                <w:rFonts w:ascii="Times New Roman" w:hAnsi="Times New Roman" w:eastAsia="宋体"/>
                <w:b w:val="0"/>
                <w:i w:val="0"/>
                <w:color w:val="000000"/>
                <w:sz w:val="21"/>
              </w:rPr>
              <w:t>CO 排放</w:t>
            </w:r>
          </w:p>
        </w:tc>
        <w:tc>
          <w:tcPr>
            <w:tcW w:w="1361" w:type="dxa"/>
            <w:vAlign w:val="center"/>
          </w:tcPr>
          <w:p w14:paraId="667D293F">
            <w:pPr>
              <w:spacing w:before="20" w:after="20" w:line="240" w:lineRule="auto"/>
              <w:jc w:val="center"/>
            </w:pPr>
            <w:r>
              <w:rPr>
                <w:rFonts w:ascii="Times New Roman" w:hAnsi="Times New Roman" w:eastAsia="宋体"/>
                <w:b w:val="0"/>
                <w:i w:val="0"/>
                <w:color w:val="000000"/>
                <w:sz w:val="21"/>
              </w:rPr>
              <w:t>9 特征</w:t>
            </w:r>
          </w:p>
        </w:tc>
        <w:tc>
          <w:tcPr>
            <w:tcW w:w="1474" w:type="dxa"/>
            <w:vAlign w:val="center"/>
          </w:tcPr>
          <w:p w14:paraId="188A9D9A">
            <w:pPr>
              <w:spacing w:before="20" w:after="20" w:line="240" w:lineRule="auto"/>
              <w:jc w:val="center"/>
            </w:pPr>
            <w:r>
              <w:rPr>
                <w:rFonts w:ascii="Times New Roman" w:hAnsi="Times New Roman" w:eastAsia="宋体"/>
                <w:b w:val="0"/>
                <w:i w:val="0"/>
                <w:color w:val="000000"/>
                <w:sz w:val="21"/>
              </w:rPr>
              <w:t>0.7942</w:t>
            </w:r>
          </w:p>
        </w:tc>
        <w:tc>
          <w:tcPr>
            <w:tcW w:w="1474" w:type="dxa"/>
            <w:vAlign w:val="center"/>
          </w:tcPr>
          <w:p w14:paraId="68F1A459">
            <w:pPr>
              <w:spacing w:before="20" w:after="20" w:line="240" w:lineRule="auto"/>
              <w:jc w:val="center"/>
            </w:pPr>
            <w:r>
              <w:rPr>
                <w:rFonts w:ascii="Times New Roman" w:hAnsi="Times New Roman" w:eastAsia="宋体"/>
                <w:b w:val="0"/>
                <w:i w:val="0"/>
                <w:color w:val="000000"/>
                <w:sz w:val="21"/>
              </w:rPr>
              <w:t>0.4959</w:t>
            </w:r>
          </w:p>
        </w:tc>
        <w:tc>
          <w:tcPr>
            <w:tcW w:w="1474" w:type="dxa"/>
            <w:vAlign w:val="center"/>
          </w:tcPr>
          <w:p w14:paraId="2B62BAA6">
            <w:pPr>
              <w:spacing w:before="20" w:after="20" w:line="240" w:lineRule="auto"/>
              <w:jc w:val="center"/>
            </w:pPr>
            <w:r>
              <w:rPr>
                <w:rFonts w:ascii="Times New Roman" w:hAnsi="Times New Roman" w:eastAsia="宋体"/>
                <w:b w:val="0"/>
                <w:i w:val="0"/>
                <w:color w:val="000000"/>
                <w:sz w:val="21"/>
              </w:rPr>
              <w:t>0.9889</w:t>
            </w:r>
          </w:p>
        </w:tc>
      </w:tr>
      <w:tr w14:paraId="1E47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17E33AD">
            <w:pPr>
              <w:spacing w:before="20" w:after="20" w:line="240" w:lineRule="auto"/>
              <w:jc w:val="left"/>
            </w:pPr>
            <w:r>
              <w:rPr>
                <w:rFonts w:ascii="Times New Roman" w:hAnsi="Times New Roman" w:eastAsia="宋体"/>
                <w:b w:val="0"/>
                <w:i w:val="0"/>
                <w:color w:val="000000"/>
                <w:sz w:val="21"/>
              </w:rPr>
              <w:t>NOx 排放</w:t>
            </w:r>
          </w:p>
        </w:tc>
        <w:tc>
          <w:tcPr>
            <w:tcW w:w="1361" w:type="dxa"/>
            <w:vAlign w:val="center"/>
          </w:tcPr>
          <w:p w14:paraId="04113236">
            <w:pPr>
              <w:spacing w:before="20" w:after="20" w:line="240" w:lineRule="auto"/>
              <w:jc w:val="center"/>
            </w:pPr>
            <w:r>
              <w:rPr>
                <w:rFonts w:ascii="Times New Roman" w:hAnsi="Times New Roman" w:eastAsia="宋体"/>
                <w:b w:val="0"/>
                <w:i w:val="0"/>
                <w:color w:val="000000"/>
                <w:sz w:val="21"/>
              </w:rPr>
              <w:t>9 特征</w:t>
            </w:r>
          </w:p>
        </w:tc>
        <w:tc>
          <w:tcPr>
            <w:tcW w:w="1474" w:type="dxa"/>
            <w:vAlign w:val="center"/>
          </w:tcPr>
          <w:p w14:paraId="263F0ADE">
            <w:pPr>
              <w:spacing w:before="20" w:after="20" w:line="240" w:lineRule="auto"/>
              <w:jc w:val="center"/>
            </w:pPr>
            <w:r>
              <w:rPr>
                <w:rFonts w:ascii="Times New Roman" w:hAnsi="Times New Roman" w:eastAsia="宋体"/>
                <w:b w:val="0"/>
                <w:i w:val="0"/>
                <w:color w:val="000000"/>
                <w:sz w:val="21"/>
              </w:rPr>
              <w:t>0.8634</w:t>
            </w:r>
          </w:p>
        </w:tc>
        <w:tc>
          <w:tcPr>
            <w:tcW w:w="1474" w:type="dxa"/>
            <w:vAlign w:val="center"/>
          </w:tcPr>
          <w:p w14:paraId="045B5BEE">
            <w:pPr>
              <w:spacing w:before="20" w:after="20" w:line="240" w:lineRule="auto"/>
              <w:jc w:val="center"/>
            </w:pPr>
            <w:r>
              <w:rPr>
                <w:rFonts w:ascii="Times New Roman" w:hAnsi="Times New Roman" w:eastAsia="宋体"/>
                <w:b w:val="0"/>
                <w:i w:val="0"/>
                <w:color w:val="000000"/>
                <w:sz w:val="21"/>
              </w:rPr>
              <w:t>2.7985</w:t>
            </w:r>
          </w:p>
        </w:tc>
        <w:tc>
          <w:tcPr>
            <w:tcW w:w="1474" w:type="dxa"/>
            <w:vAlign w:val="center"/>
          </w:tcPr>
          <w:p w14:paraId="797D6459">
            <w:pPr>
              <w:spacing w:before="20" w:after="20" w:line="240" w:lineRule="auto"/>
              <w:jc w:val="center"/>
            </w:pPr>
            <w:r>
              <w:rPr>
                <w:rFonts w:ascii="Times New Roman" w:hAnsi="Times New Roman" w:eastAsia="宋体"/>
                <w:b w:val="0"/>
                <w:i w:val="0"/>
                <w:color w:val="000000"/>
                <w:sz w:val="21"/>
              </w:rPr>
              <w:t>4.2172</w:t>
            </w:r>
          </w:p>
        </w:tc>
      </w:tr>
    </w:tbl>
    <w:p w14:paraId="76660E4B">
      <w:pPr>
        <w:spacing w:after="40" w:line="240" w:lineRule="auto"/>
      </w:pPr>
    </w:p>
    <w:p w14:paraId="143E98BE">
      <w:pPr>
        <w:spacing w:before="80" w:after="80" w:line="240" w:lineRule="auto"/>
        <w:jc w:val="center"/>
      </w:pPr>
      <w:r>
        <w:rPr>
          <w:rFonts w:ascii="Times New Roman" w:hAnsi="Times New Roman" w:eastAsia="宋体"/>
          <w:b/>
          <w:i w:val="0"/>
          <w:color w:val="000000"/>
          <w:sz w:val="21"/>
        </w:rPr>
        <w:t>表4-2　按年跨年外推评估结果（训练≤2014，测试=2015）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814"/>
        <w:gridCol w:w="1814"/>
        <w:gridCol w:w="1814"/>
      </w:tblGrid>
      <w:tr w14:paraId="4356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F2F2F2"/>
            <w:vAlign w:val="center"/>
          </w:tcPr>
          <w:p w14:paraId="67E1F197">
            <w:pPr>
              <w:spacing w:before="20" w:after="20" w:line="240" w:lineRule="auto"/>
              <w:jc w:val="center"/>
            </w:pPr>
            <w:r>
              <w:rPr>
                <w:rFonts w:ascii="Times New Roman" w:hAnsi="Times New Roman" w:eastAsia="宋体"/>
                <w:b/>
                <w:i w:val="0"/>
                <w:color w:val="000000"/>
                <w:sz w:val="21"/>
              </w:rPr>
              <w:t>模型</w:t>
            </w:r>
          </w:p>
        </w:tc>
        <w:tc>
          <w:tcPr>
            <w:tcW w:w="1814" w:type="dxa"/>
            <w:shd w:val="clear" w:color="auto" w:fill="F2F2F2"/>
            <w:vAlign w:val="center"/>
          </w:tcPr>
          <w:p w14:paraId="4B330AC6">
            <w:pPr>
              <w:spacing w:before="20" w:after="20" w:line="240" w:lineRule="auto"/>
              <w:jc w:val="center"/>
            </w:pPr>
            <w:r>
              <w:rPr>
                <w:rFonts w:ascii="Times New Roman" w:hAnsi="Times New Roman" w:eastAsia="宋体"/>
                <w:b/>
                <w:i w:val="0"/>
                <w:color w:val="000000"/>
                <w:sz w:val="21"/>
              </w:rPr>
              <w:t>R²</w:t>
            </w:r>
          </w:p>
        </w:tc>
        <w:tc>
          <w:tcPr>
            <w:tcW w:w="1814" w:type="dxa"/>
            <w:shd w:val="clear" w:color="auto" w:fill="F2F2F2"/>
            <w:vAlign w:val="center"/>
          </w:tcPr>
          <w:p w14:paraId="5223984D">
            <w:pPr>
              <w:spacing w:before="20" w:after="20" w:line="240" w:lineRule="auto"/>
              <w:jc w:val="center"/>
            </w:pPr>
            <w:r>
              <w:rPr>
                <w:rFonts w:ascii="Times New Roman" w:hAnsi="Times New Roman" w:eastAsia="宋体"/>
                <w:b/>
                <w:i w:val="0"/>
                <w:color w:val="000000"/>
                <w:sz w:val="21"/>
              </w:rPr>
              <w:t>MAE</w:t>
            </w:r>
          </w:p>
        </w:tc>
        <w:tc>
          <w:tcPr>
            <w:tcW w:w="1814" w:type="dxa"/>
            <w:shd w:val="clear" w:color="auto" w:fill="F2F2F2"/>
            <w:vAlign w:val="center"/>
          </w:tcPr>
          <w:p w14:paraId="33CACE5D">
            <w:pPr>
              <w:spacing w:before="20" w:after="20" w:line="240" w:lineRule="auto"/>
              <w:jc w:val="center"/>
            </w:pPr>
            <w:r>
              <w:rPr>
                <w:rFonts w:ascii="Times New Roman" w:hAnsi="Times New Roman" w:eastAsia="宋体"/>
                <w:b/>
                <w:i w:val="0"/>
                <w:color w:val="000000"/>
                <w:sz w:val="21"/>
              </w:rPr>
              <w:t>RMSE</w:t>
            </w:r>
          </w:p>
        </w:tc>
      </w:tr>
      <w:tr w14:paraId="17FD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DF66DA5">
            <w:pPr>
              <w:spacing w:before="20" w:after="20" w:line="240" w:lineRule="auto"/>
              <w:jc w:val="left"/>
            </w:pPr>
            <w:r>
              <w:rPr>
                <w:rFonts w:ascii="Times New Roman" w:hAnsi="Times New Roman" w:eastAsia="宋体"/>
                <w:b w:val="0"/>
                <w:i w:val="0"/>
                <w:color w:val="000000"/>
                <w:sz w:val="21"/>
              </w:rPr>
              <w:t>TEY 能量产出</w:t>
            </w:r>
          </w:p>
        </w:tc>
        <w:tc>
          <w:tcPr>
            <w:tcW w:w="1814" w:type="dxa"/>
            <w:vAlign w:val="center"/>
          </w:tcPr>
          <w:p w14:paraId="7615E12A">
            <w:pPr>
              <w:spacing w:before="20" w:after="20" w:line="240" w:lineRule="auto"/>
              <w:jc w:val="center"/>
            </w:pPr>
            <w:r>
              <w:rPr>
                <w:rFonts w:ascii="Times New Roman" w:hAnsi="Times New Roman" w:eastAsia="宋体"/>
                <w:b w:val="0"/>
                <w:i w:val="0"/>
                <w:color w:val="000000"/>
                <w:sz w:val="21"/>
              </w:rPr>
              <w:t>0.9938</w:t>
            </w:r>
          </w:p>
        </w:tc>
        <w:tc>
          <w:tcPr>
            <w:tcW w:w="1814" w:type="dxa"/>
            <w:vAlign w:val="center"/>
          </w:tcPr>
          <w:p w14:paraId="12C36E50">
            <w:pPr>
              <w:spacing w:before="20" w:after="20" w:line="240" w:lineRule="auto"/>
              <w:jc w:val="center"/>
            </w:pPr>
            <w:r>
              <w:rPr>
                <w:rFonts w:ascii="Times New Roman" w:hAnsi="Times New Roman" w:eastAsia="宋体"/>
                <w:b w:val="0"/>
                <w:i w:val="0"/>
                <w:color w:val="000000"/>
                <w:sz w:val="21"/>
              </w:rPr>
              <w:t>0.9402</w:t>
            </w:r>
          </w:p>
        </w:tc>
        <w:tc>
          <w:tcPr>
            <w:tcW w:w="1814" w:type="dxa"/>
            <w:vAlign w:val="center"/>
          </w:tcPr>
          <w:p w14:paraId="30ABE281">
            <w:pPr>
              <w:spacing w:before="20" w:after="20" w:line="240" w:lineRule="auto"/>
              <w:jc w:val="center"/>
            </w:pPr>
            <w:r>
              <w:rPr>
                <w:rFonts w:ascii="Times New Roman" w:hAnsi="Times New Roman" w:eastAsia="宋体"/>
                <w:b w:val="0"/>
                <w:i w:val="0"/>
                <w:color w:val="000000"/>
                <w:sz w:val="21"/>
              </w:rPr>
              <w:t>1.2710</w:t>
            </w:r>
          </w:p>
        </w:tc>
      </w:tr>
      <w:tr w14:paraId="6C7A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0E988A3">
            <w:pPr>
              <w:spacing w:before="20" w:after="20" w:line="240" w:lineRule="auto"/>
              <w:jc w:val="left"/>
            </w:pPr>
            <w:r>
              <w:rPr>
                <w:rFonts w:ascii="Times New Roman" w:hAnsi="Times New Roman" w:eastAsia="宋体"/>
                <w:b w:val="0"/>
                <w:i w:val="0"/>
                <w:color w:val="000000"/>
                <w:sz w:val="21"/>
              </w:rPr>
              <w:t>CO 排放</w:t>
            </w:r>
          </w:p>
        </w:tc>
        <w:tc>
          <w:tcPr>
            <w:tcW w:w="1814" w:type="dxa"/>
            <w:vAlign w:val="center"/>
          </w:tcPr>
          <w:p w14:paraId="23E89655">
            <w:pPr>
              <w:spacing w:before="20" w:after="20" w:line="240" w:lineRule="auto"/>
              <w:jc w:val="center"/>
            </w:pPr>
            <w:r>
              <w:rPr>
                <w:rFonts w:ascii="Times New Roman" w:hAnsi="Times New Roman" w:eastAsia="宋体"/>
                <w:b w:val="0"/>
                <w:i w:val="0"/>
                <w:color w:val="000000"/>
                <w:sz w:val="21"/>
              </w:rPr>
              <w:t>0.5004</w:t>
            </w:r>
          </w:p>
        </w:tc>
        <w:tc>
          <w:tcPr>
            <w:tcW w:w="1814" w:type="dxa"/>
            <w:vAlign w:val="center"/>
          </w:tcPr>
          <w:p w14:paraId="69168E63">
            <w:pPr>
              <w:spacing w:before="20" w:after="20" w:line="240" w:lineRule="auto"/>
              <w:jc w:val="center"/>
            </w:pPr>
            <w:r>
              <w:rPr>
                <w:rFonts w:ascii="Times New Roman" w:hAnsi="Times New Roman" w:eastAsia="宋体"/>
                <w:b w:val="0"/>
                <w:i w:val="0"/>
                <w:color w:val="000000"/>
                <w:sz w:val="21"/>
              </w:rPr>
              <w:t>0.9819</w:t>
            </w:r>
          </w:p>
        </w:tc>
        <w:tc>
          <w:tcPr>
            <w:tcW w:w="1814" w:type="dxa"/>
            <w:vAlign w:val="center"/>
          </w:tcPr>
          <w:p w14:paraId="40530E5C">
            <w:pPr>
              <w:spacing w:before="20" w:after="20" w:line="240" w:lineRule="auto"/>
              <w:jc w:val="center"/>
            </w:pPr>
            <w:r>
              <w:rPr>
                <w:rFonts w:ascii="Times New Roman" w:hAnsi="Times New Roman" w:eastAsia="宋体"/>
                <w:b w:val="0"/>
                <w:i w:val="0"/>
                <w:color w:val="000000"/>
                <w:sz w:val="21"/>
              </w:rPr>
              <w:t>1.5796</w:t>
            </w:r>
          </w:p>
        </w:tc>
      </w:tr>
      <w:tr w14:paraId="5365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DA5C571">
            <w:pPr>
              <w:spacing w:before="20" w:after="20" w:line="240" w:lineRule="auto"/>
              <w:jc w:val="left"/>
            </w:pPr>
            <w:r>
              <w:rPr>
                <w:rFonts w:ascii="Times New Roman" w:hAnsi="Times New Roman" w:eastAsia="宋体"/>
                <w:b w:val="0"/>
                <w:i w:val="0"/>
                <w:color w:val="000000"/>
                <w:sz w:val="21"/>
              </w:rPr>
              <w:t>NOx 排放</w:t>
            </w:r>
          </w:p>
        </w:tc>
        <w:tc>
          <w:tcPr>
            <w:tcW w:w="1814" w:type="dxa"/>
            <w:vAlign w:val="center"/>
          </w:tcPr>
          <w:p w14:paraId="1C2A29E0">
            <w:pPr>
              <w:spacing w:before="20" w:after="20" w:line="240" w:lineRule="auto"/>
              <w:jc w:val="center"/>
            </w:pPr>
            <w:r>
              <w:rPr>
                <w:rFonts w:ascii="Times New Roman" w:hAnsi="Times New Roman" w:eastAsia="宋体"/>
                <w:b w:val="0"/>
                <w:i w:val="0"/>
                <w:color w:val="000000"/>
                <w:sz w:val="21"/>
              </w:rPr>
              <w:t>0.1167</w:t>
            </w:r>
          </w:p>
        </w:tc>
        <w:tc>
          <w:tcPr>
            <w:tcW w:w="1814" w:type="dxa"/>
            <w:vAlign w:val="center"/>
          </w:tcPr>
          <w:p w14:paraId="4CE58A54">
            <w:pPr>
              <w:spacing w:before="20" w:after="20" w:line="240" w:lineRule="auto"/>
              <w:jc w:val="center"/>
            </w:pPr>
            <w:r>
              <w:rPr>
                <w:rFonts w:ascii="Times New Roman" w:hAnsi="Times New Roman" w:eastAsia="宋体"/>
                <w:b w:val="0"/>
                <w:i w:val="0"/>
                <w:color w:val="000000"/>
                <w:sz w:val="21"/>
              </w:rPr>
              <w:t>8.8440</w:t>
            </w:r>
          </w:p>
        </w:tc>
        <w:tc>
          <w:tcPr>
            <w:tcW w:w="1814" w:type="dxa"/>
            <w:vAlign w:val="center"/>
          </w:tcPr>
          <w:p w14:paraId="20BFF149">
            <w:pPr>
              <w:spacing w:before="20" w:after="20" w:line="240" w:lineRule="auto"/>
              <w:jc w:val="center"/>
            </w:pPr>
            <w:r>
              <w:rPr>
                <w:rFonts w:ascii="Times New Roman" w:hAnsi="Times New Roman" w:eastAsia="宋体"/>
                <w:b w:val="0"/>
                <w:i w:val="0"/>
                <w:color w:val="000000"/>
                <w:sz w:val="21"/>
              </w:rPr>
              <w:t>10.4623</w:t>
            </w:r>
          </w:p>
        </w:tc>
      </w:tr>
    </w:tbl>
    <w:p w14:paraId="7E1B20A4">
      <w:pPr>
        <w:spacing w:after="40" w:line="240" w:lineRule="auto"/>
      </w:pPr>
    </w:p>
    <w:p w14:paraId="34456C24">
      <w:pPr>
        <w:spacing w:before="0" w:after="0" w:line="360" w:lineRule="auto"/>
        <w:ind w:firstLine="480" w:firstLineChars="200"/>
        <w:jc w:val="both"/>
      </w:pPr>
      <w:r>
        <w:rPr>
          <w:rFonts w:ascii="Times New Roman" w:hAnsi="Times New Roman" w:eastAsia="宋体"/>
          <w:b w:val="0"/>
          <w:i w:val="0"/>
          <w:color w:val="000000"/>
          <w:sz w:val="24"/>
        </w:rPr>
        <w:t>结果表明：TEY 能量产出可由运行参数高精度预测，两类评估下 R² 均接近 1；NOx 在随机留出评估下 R² 达 0.8634，但在跨年外推时 R² 仅为 0.1167，这正是 3.4 节所述数据漂移的直接量化体现——按年外推时模型会系统性高估 NOx；CO 的跨年外推精度同样下降。本系统没有回避这一现象，而是在训练报告 train_report.json 中同时保留两套指标如实披露，并在报告与答辩中说明：部署模型采用全量训练以兼顾实时预测的可用性，跨年外推指标用于客观反映模型对分布漂移的敏感程度。这一处理过程也是一次完整的“发现问题—分析原因—工程决策—如实披露”的实践。</w:t>
      </w:r>
    </w:p>
    <w:p w14:paraId="38383887">
      <w:pPr>
        <w:pStyle w:val="4"/>
        <w:spacing w:before="220" w:after="100" w:line="360" w:lineRule="auto"/>
      </w:pPr>
      <w:bookmarkStart w:id="25" w:name="_Toc14126"/>
      <w:r>
        <w:rPr>
          <w:rFonts w:ascii="Arial" w:hAnsi="Arial" w:eastAsia="黑体"/>
          <w:b/>
          <w:i w:val="0"/>
          <w:color w:val="000000"/>
          <w:sz w:val="28"/>
        </w:rPr>
        <w:t>4.7　RESTful API 实现</w:t>
      </w:r>
      <w:bookmarkEnd w:id="25"/>
    </w:p>
    <w:p w14:paraId="4BF80E63">
      <w:pPr>
        <w:spacing w:before="0" w:after="0" w:line="360" w:lineRule="auto"/>
        <w:ind w:firstLine="480" w:firstLineChars="200"/>
        <w:jc w:val="both"/>
      </w:pPr>
      <w:r>
        <w:rPr>
          <w:rFonts w:ascii="Times New Roman" w:hAnsi="Times New Roman" w:eastAsia="宋体"/>
          <w:b w:val="0"/>
          <w:i w:val="0"/>
          <w:color w:val="000000"/>
          <w:sz w:val="24"/>
        </w:rPr>
        <w:t>后端通过 /api 蓝图对外提供 9 个 RESTful 接口，覆盖健康检查、总览聚合、三项智能计算与记录查询，接口清单如表4-3所示。接口对请求参数进行必填校验与数值类型校验，缺参或类型错误时返回 400 状态码与明确错误信息；计算结果由业务服务层同步写入数据库以便追溯。</w:t>
      </w:r>
    </w:p>
    <w:p w14:paraId="45543C95">
      <w:pPr>
        <w:spacing w:before="80" w:after="80" w:line="240" w:lineRule="auto"/>
        <w:jc w:val="center"/>
      </w:pPr>
      <w:r>
        <w:rPr>
          <w:rFonts w:ascii="Times New Roman" w:hAnsi="Times New Roman" w:eastAsia="宋体"/>
          <w:b/>
          <w:i w:val="0"/>
          <w:color w:val="000000"/>
          <w:sz w:val="21"/>
        </w:rPr>
        <w:t>表4-3　RESTful API 接口清单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608"/>
        <w:gridCol w:w="4876"/>
      </w:tblGrid>
      <w:tr w14:paraId="0519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020" w:type="dxa"/>
            <w:shd w:val="clear" w:color="auto" w:fill="F2F2F2"/>
            <w:vAlign w:val="center"/>
          </w:tcPr>
          <w:p w14:paraId="1B9BF9AA">
            <w:pPr>
              <w:spacing w:before="20" w:after="20" w:line="240" w:lineRule="auto"/>
              <w:jc w:val="center"/>
            </w:pPr>
            <w:r>
              <w:rPr>
                <w:rFonts w:ascii="Times New Roman" w:hAnsi="Times New Roman" w:eastAsia="宋体"/>
                <w:b/>
                <w:i w:val="0"/>
                <w:color w:val="000000"/>
                <w:sz w:val="21"/>
              </w:rPr>
              <w:t>方法</w:t>
            </w:r>
          </w:p>
        </w:tc>
        <w:tc>
          <w:tcPr>
            <w:tcW w:w="2608" w:type="dxa"/>
            <w:shd w:val="clear" w:color="auto" w:fill="F2F2F2"/>
            <w:vAlign w:val="center"/>
          </w:tcPr>
          <w:p w14:paraId="15E88A95">
            <w:pPr>
              <w:spacing w:before="20" w:after="20" w:line="240" w:lineRule="auto"/>
              <w:jc w:val="center"/>
            </w:pPr>
            <w:r>
              <w:rPr>
                <w:rFonts w:ascii="Times New Roman" w:hAnsi="Times New Roman" w:eastAsia="宋体"/>
                <w:b/>
                <w:i w:val="0"/>
                <w:color w:val="000000"/>
                <w:sz w:val="21"/>
              </w:rPr>
              <w:t>路径</w:t>
            </w:r>
          </w:p>
        </w:tc>
        <w:tc>
          <w:tcPr>
            <w:tcW w:w="4876" w:type="dxa"/>
            <w:shd w:val="clear" w:color="auto" w:fill="F2F2F2"/>
            <w:vAlign w:val="center"/>
          </w:tcPr>
          <w:p w14:paraId="468D7343">
            <w:pPr>
              <w:spacing w:before="20" w:after="20" w:line="240" w:lineRule="auto"/>
              <w:jc w:val="center"/>
            </w:pPr>
            <w:r>
              <w:rPr>
                <w:rFonts w:ascii="Times New Roman" w:hAnsi="Times New Roman" w:eastAsia="宋体"/>
                <w:b/>
                <w:i w:val="0"/>
                <w:color w:val="000000"/>
                <w:sz w:val="21"/>
              </w:rPr>
              <w:t>功能</w:t>
            </w:r>
          </w:p>
        </w:tc>
      </w:tr>
      <w:tr w14:paraId="2780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304951C3">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4CE2193A">
            <w:pPr>
              <w:spacing w:before="20" w:after="20" w:line="240" w:lineRule="auto"/>
              <w:jc w:val="left"/>
            </w:pPr>
            <w:r>
              <w:rPr>
                <w:rFonts w:ascii="Times New Roman" w:hAnsi="Times New Roman" w:eastAsia="宋体"/>
                <w:b w:val="0"/>
                <w:i w:val="0"/>
                <w:color w:val="000000"/>
                <w:sz w:val="21"/>
              </w:rPr>
              <w:t>/api/health</w:t>
            </w:r>
          </w:p>
        </w:tc>
        <w:tc>
          <w:tcPr>
            <w:tcW w:w="4876" w:type="dxa"/>
            <w:vAlign w:val="center"/>
          </w:tcPr>
          <w:p w14:paraId="2975CA84">
            <w:pPr>
              <w:spacing w:before="20" w:after="20" w:line="240" w:lineRule="auto"/>
              <w:jc w:val="left"/>
            </w:pPr>
            <w:r>
              <w:rPr>
                <w:rFonts w:ascii="Times New Roman" w:hAnsi="Times New Roman" w:eastAsia="宋体"/>
                <w:b w:val="0"/>
                <w:i w:val="0"/>
                <w:color w:val="000000"/>
                <w:sz w:val="21"/>
              </w:rPr>
              <w:t>健康检查</w:t>
            </w:r>
          </w:p>
        </w:tc>
      </w:tr>
      <w:tr w14:paraId="39E3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161C87E4">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047F75B5">
            <w:pPr>
              <w:spacing w:before="20" w:after="20" w:line="240" w:lineRule="auto"/>
              <w:jc w:val="left"/>
            </w:pPr>
            <w:r>
              <w:rPr>
                <w:rFonts w:ascii="Times New Roman" w:hAnsi="Times New Roman" w:eastAsia="宋体"/>
                <w:b w:val="0"/>
                <w:i w:val="0"/>
                <w:color w:val="000000"/>
                <w:sz w:val="21"/>
              </w:rPr>
              <w:t>/api/overview</w:t>
            </w:r>
          </w:p>
        </w:tc>
        <w:tc>
          <w:tcPr>
            <w:tcW w:w="4876" w:type="dxa"/>
            <w:vAlign w:val="center"/>
          </w:tcPr>
          <w:p w14:paraId="0062BE58">
            <w:pPr>
              <w:spacing w:before="20" w:after="20" w:line="240" w:lineRule="auto"/>
              <w:jc w:val="left"/>
            </w:pPr>
            <w:r>
              <w:rPr>
                <w:rFonts w:ascii="Times New Roman" w:hAnsi="Times New Roman" w:eastAsia="宋体"/>
                <w:b w:val="0"/>
                <w:i w:val="0"/>
                <w:color w:val="000000"/>
                <w:sz w:val="21"/>
              </w:rPr>
              <w:t>运行总览（设备/统计/近期记录）</w:t>
            </w:r>
          </w:p>
        </w:tc>
      </w:tr>
      <w:tr w14:paraId="04AC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5311644">
            <w:pPr>
              <w:spacing w:before="20" w:after="20" w:line="240" w:lineRule="auto"/>
              <w:jc w:val="center"/>
            </w:pPr>
            <w:r>
              <w:rPr>
                <w:rFonts w:ascii="Times New Roman" w:hAnsi="Times New Roman" w:eastAsia="宋体"/>
                <w:b w:val="0"/>
                <w:i w:val="0"/>
                <w:color w:val="000000"/>
                <w:sz w:val="21"/>
              </w:rPr>
              <w:t>POST</w:t>
            </w:r>
          </w:p>
        </w:tc>
        <w:tc>
          <w:tcPr>
            <w:tcW w:w="2608" w:type="dxa"/>
            <w:vAlign w:val="center"/>
          </w:tcPr>
          <w:p w14:paraId="320D9361">
            <w:pPr>
              <w:spacing w:before="20" w:after="20" w:line="240" w:lineRule="auto"/>
              <w:jc w:val="left"/>
            </w:pPr>
            <w:r>
              <w:rPr>
                <w:rFonts w:ascii="Times New Roman" w:hAnsi="Times New Roman" w:eastAsia="宋体"/>
                <w:b w:val="0"/>
                <w:i w:val="0"/>
                <w:color w:val="000000"/>
                <w:sz w:val="21"/>
              </w:rPr>
              <w:t>/api/predict</w:t>
            </w:r>
          </w:p>
        </w:tc>
        <w:tc>
          <w:tcPr>
            <w:tcW w:w="4876" w:type="dxa"/>
            <w:vAlign w:val="center"/>
          </w:tcPr>
          <w:p w14:paraId="555CE1F3">
            <w:pPr>
              <w:spacing w:before="20" w:after="20" w:line="240" w:lineRule="auto"/>
              <w:jc w:val="left"/>
            </w:pPr>
            <w:r>
              <w:rPr>
                <w:rFonts w:ascii="Times New Roman" w:hAnsi="Times New Roman" w:eastAsia="宋体"/>
                <w:b w:val="0"/>
                <w:i w:val="0"/>
                <w:color w:val="000000"/>
                <w:sz w:val="21"/>
              </w:rPr>
              <w:t>排放预测（8 参数→TEY/CO/NOx+等级）</w:t>
            </w:r>
          </w:p>
        </w:tc>
      </w:tr>
      <w:tr w14:paraId="56EB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1C3E65D1">
            <w:pPr>
              <w:spacing w:before="20" w:after="20" w:line="240" w:lineRule="auto"/>
              <w:jc w:val="center"/>
            </w:pPr>
            <w:r>
              <w:rPr>
                <w:rFonts w:ascii="Times New Roman" w:hAnsi="Times New Roman" w:eastAsia="宋体"/>
                <w:b w:val="0"/>
                <w:i w:val="0"/>
                <w:color w:val="000000"/>
                <w:sz w:val="21"/>
              </w:rPr>
              <w:t>POST</w:t>
            </w:r>
          </w:p>
        </w:tc>
        <w:tc>
          <w:tcPr>
            <w:tcW w:w="2608" w:type="dxa"/>
            <w:vAlign w:val="center"/>
          </w:tcPr>
          <w:p w14:paraId="67C60D37">
            <w:pPr>
              <w:spacing w:before="20" w:after="20" w:line="240" w:lineRule="auto"/>
              <w:jc w:val="left"/>
            </w:pPr>
            <w:r>
              <w:rPr>
                <w:rFonts w:ascii="Times New Roman" w:hAnsi="Times New Roman" w:eastAsia="宋体"/>
                <w:b w:val="0"/>
                <w:i w:val="0"/>
                <w:color w:val="000000"/>
                <w:sz w:val="21"/>
              </w:rPr>
              <w:t>/api/optimize</w:t>
            </w:r>
          </w:p>
        </w:tc>
        <w:tc>
          <w:tcPr>
            <w:tcW w:w="4876" w:type="dxa"/>
            <w:vAlign w:val="center"/>
          </w:tcPr>
          <w:p w14:paraId="418EF2BB">
            <w:pPr>
              <w:spacing w:before="20" w:after="20" w:line="240" w:lineRule="auto"/>
              <w:jc w:val="left"/>
            </w:pPr>
            <w:r>
              <w:rPr>
                <w:rFonts w:ascii="Times New Roman" w:hAnsi="Times New Roman" w:eastAsia="宋体"/>
                <w:b w:val="0"/>
                <w:i w:val="0"/>
                <w:color w:val="000000"/>
                <w:sz w:val="21"/>
              </w:rPr>
              <w:t>PSO 参数优化（可带基准对比）</w:t>
            </w:r>
          </w:p>
        </w:tc>
      </w:tr>
      <w:tr w14:paraId="3560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305EC91D">
            <w:pPr>
              <w:spacing w:before="20" w:after="20" w:line="240" w:lineRule="auto"/>
              <w:jc w:val="center"/>
            </w:pPr>
            <w:r>
              <w:rPr>
                <w:rFonts w:ascii="Times New Roman" w:hAnsi="Times New Roman" w:eastAsia="宋体"/>
                <w:b w:val="0"/>
                <w:i w:val="0"/>
                <w:color w:val="000000"/>
                <w:sz w:val="21"/>
              </w:rPr>
              <w:t>POST</w:t>
            </w:r>
          </w:p>
        </w:tc>
        <w:tc>
          <w:tcPr>
            <w:tcW w:w="2608" w:type="dxa"/>
            <w:vAlign w:val="center"/>
          </w:tcPr>
          <w:p w14:paraId="5ACC3F3D">
            <w:pPr>
              <w:spacing w:before="20" w:after="20" w:line="240" w:lineRule="auto"/>
              <w:jc w:val="left"/>
            </w:pPr>
            <w:r>
              <w:rPr>
                <w:rFonts w:ascii="Times New Roman" w:hAnsi="Times New Roman" w:eastAsia="宋体"/>
                <w:b w:val="0"/>
                <w:i w:val="0"/>
                <w:color w:val="000000"/>
                <w:sz w:val="21"/>
              </w:rPr>
              <w:t>/api/anomaly/check</w:t>
            </w:r>
          </w:p>
        </w:tc>
        <w:tc>
          <w:tcPr>
            <w:tcW w:w="4876" w:type="dxa"/>
            <w:vAlign w:val="center"/>
          </w:tcPr>
          <w:p w14:paraId="470E7A66">
            <w:pPr>
              <w:spacing w:before="20" w:after="20" w:line="240" w:lineRule="auto"/>
              <w:jc w:val="left"/>
            </w:pPr>
            <w:r>
              <w:rPr>
                <w:rFonts w:ascii="Times New Roman" w:hAnsi="Times New Roman" w:eastAsia="宋体"/>
                <w:b w:val="0"/>
                <w:i w:val="0"/>
                <w:color w:val="000000"/>
                <w:sz w:val="21"/>
              </w:rPr>
              <w:t>工况异常检测（9 特征）</w:t>
            </w:r>
          </w:p>
        </w:tc>
      </w:tr>
      <w:tr w14:paraId="0EA8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65F0C46">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12BAC711">
            <w:pPr>
              <w:spacing w:before="20" w:after="20" w:line="240" w:lineRule="auto"/>
              <w:jc w:val="left"/>
            </w:pPr>
            <w:r>
              <w:rPr>
                <w:rFonts w:ascii="Times New Roman" w:hAnsi="Times New Roman" w:eastAsia="宋体"/>
                <w:b w:val="0"/>
                <w:i w:val="0"/>
                <w:color w:val="000000"/>
                <w:sz w:val="21"/>
              </w:rPr>
              <w:t>/api/records</w:t>
            </w:r>
          </w:p>
        </w:tc>
        <w:tc>
          <w:tcPr>
            <w:tcW w:w="4876" w:type="dxa"/>
            <w:vAlign w:val="center"/>
          </w:tcPr>
          <w:p w14:paraId="0E1921CE">
            <w:pPr>
              <w:spacing w:before="20" w:after="20" w:line="240" w:lineRule="auto"/>
              <w:jc w:val="left"/>
            </w:pPr>
            <w:r>
              <w:rPr>
                <w:rFonts w:ascii="Times New Roman" w:hAnsi="Times New Roman" w:eastAsia="宋体"/>
                <w:b w:val="0"/>
                <w:i w:val="0"/>
                <w:color w:val="000000"/>
                <w:sz w:val="21"/>
              </w:rPr>
              <w:t>历史记录查询（?type=predict/optimize）</w:t>
            </w:r>
          </w:p>
        </w:tc>
      </w:tr>
      <w:tr w14:paraId="1CAF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5E3AACA5">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256530F3">
            <w:pPr>
              <w:spacing w:before="20" w:after="20" w:line="240" w:lineRule="auto"/>
              <w:jc w:val="left"/>
            </w:pPr>
            <w:r>
              <w:rPr>
                <w:rFonts w:ascii="Times New Roman" w:hAnsi="Times New Roman" w:eastAsia="宋体"/>
                <w:b w:val="0"/>
                <w:i w:val="0"/>
                <w:color w:val="000000"/>
                <w:sz w:val="21"/>
              </w:rPr>
              <w:t>/api/anomalies</w:t>
            </w:r>
          </w:p>
        </w:tc>
        <w:tc>
          <w:tcPr>
            <w:tcW w:w="4876" w:type="dxa"/>
            <w:vAlign w:val="center"/>
          </w:tcPr>
          <w:p w14:paraId="50EA0A40">
            <w:pPr>
              <w:spacing w:before="20" w:after="20" w:line="240" w:lineRule="auto"/>
              <w:jc w:val="left"/>
            </w:pPr>
            <w:r>
              <w:rPr>
                <w:rFonts w:ascii="Times New Roman" w:hAnsi="Times New Roman" w:eastAsia="宋体"/>
                <w:b w:val="0"/>
                <w:i w:val="0"/>
                <w:color w:val="000000"/>
                <w:sz w:val="21"/>
              </w:rPr>
              <w:t>异常预警日志查询</w:t>
            </w:r>
          </w:p>
        </w:tc>
      </w:tr>
      <w:tr w14:paraId="4655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5150DB21">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15C81806">
            <w:pPr>
              <w:spacing w:before="20" w:after="20" w:line="240" w:lineRule="auto"/>
              <w:jc w:val="left"/>
            </w:pPr>
            <w:r>
              <w:rPr>
                <w:rFonts w:ascii="Times New Roman" w:hAnsi="Times New Roman" w:eastAsia="宋体"/>
                <w:b w:val="0"/>
                <w:i w:val="0"/>
                <w:color w:val="000000"/>
                <w:sz w:val="21"/>
              </w:rPr>
              <w:t>/api/device</w:t>
            </w:r>
          </w:p>
        </w:tc>
        <w:tc>
          <w:tcPr>
            <w:tcW w:w="4876" w:type="dxa"/>
            <w:vAlign w:val="center"/>
          </w:tcPr>
          <w:p w14:paraId="1243892F">
            <w:pPr>
              <w:spacing w:before="20" w:after="20" w:line="240" w:lineRule="auto"/>
              <w:jc w:val="left"/>
            </w:pPr>
            <w:r>
              <w:rPr>
                <w:rFonts w:ascii="Times New Roman" w:hAnsi="Times New Roman" w:eastAsia="宋体"/>
                <w:b w:val="0"/>
                <w:i w:val="0"/>
                <w:color w:val="000000"/>
                <w:sz w:val="21"/>
              </w:rPr>
              <w:t>设备基础信息</w:t>
            </w:r>
          </w:p>
        </w:tc>
      </w:tr>
      <w:tr w14:paraId="1B8F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138ABCF9">
            <w:pPr>
              <w:spacing w:before="20" w:after="20" w:line="240" w:lineRule="auto"/>
              <w:jc w:val="center"/>
            </w:pPr>
            <w:r>
              <w:rPr>
                <w:rFonts w:ascii="Times New Roman" w:hAnsi="Times New Roman" w:eastAsia="宋体"/>
                <w:b w:val="0"/>
                <w:i w:val="0"/>
                <w:color w:val="000000"/>
                <w:sz w:val="21"/>
              </w:rPr>
              <w:t>GET</w:t>
            </w:r>
          </w:p>
        </w:tc>
        <w:tc>
          <w:tcPr>
            <w:tcW w:w="2608" w:type="dxa"/>
            <w:vAlign w:val="center"/>
          </w:tcPr>
          <w:p w14:paraId="78F24481">
            <w:pPr>
              <w:spacing w:before="20" w:after="20" w:line="240" w:lineRule="auto"/>
              <w:jc w:val="left"/>
            </w:pPr>
            <w:r>
              <w:rPr>
                <w:rFonts w:ascii="Times New Roman" w:hAnsi="Times New Roman" w:eastAsia="宋体"/>
                <w:b w:val="0"/>
                <w:i w:val="0"/>
                <w:color w:val="000000"/>
                <w:sz w:val="21"/>
              </w:rPr>
              <w:t>/api/model/info</w:t>
            </w:r>
          </w:p>
        </w:tc>
        <w:tc>
          <w:tcPr>
            <w:tcW w:w="4876" w:type="dxa"/>
            <w:vAlign w:val="center"/>
          </w:tcPr>
          <w:p w14:paraId="5158F7CA">
            <w:pPr>
              <w:spacing w:before="20" w:after="20" w:line="240" w:lineRule="auto"/>
              <w:jc w:val="left"/>
            </w:pPr>
            <w:r>
              <w:rPr>
                <w:rFonts w:ascii="Times New Roman" w:hAnsi="Times New Roman" w:eastAsia="宋体"/>
                <w:b w:val="0"/>
                <w:i w:val="0"/>
                <w:color w:val="000000"/>
                <w:sz w:val="21"/>
              </w:rPr>
              <w:t>模型评估信息</w:t>
            </w:r>
          </w:p>
        </w:tc>
      </w:tr>
    </w:tbl>
    <w:p w14:paraId="13907B70">
      <w:pPr>
        <w:spacing w:after="40" w:line="240" w:lineRule="auto"/>
      </w:pPr>
    </w:p>
    <w:p w14:paraId="640C5433">
      <w:pPr>
        <w:pStyle w:val="4"/>
        <w:spacing w:before="220" w:after="100" w:line="360" w:lineRule="auto"/>
      </w:pPr>
      <w:bookmarkStart w:id="26" w:name="_Toc11690"/>
      <w:r>
        <w:rPr>
          <w:rFonts w:ascii="Arial" w:hAnsi="Arial" w:eastAsia="黑体"/>
          <w:b/>
          <w:i w:val="0"/>
          <w:color w:val="000000"/>
          <w:sz w:val="28"/>
        </w:rPr>
        <w:t>4.8　前端实现</w:t>
      </w:r>
      <w:bookmarkEnd w:id="26"/>
    </w:p>
    <w:p w14:paraId="53A19989">
      <w:pPr>
        <w:spacing w:before="0" w:after="0" w:line="360" w:lineRule="auto"/>
        <w:ind w:firstLine="480" w:firstLineChars="200"/>
        <w:jc w:val="both"/>
      </w:pPr>
      <w:r>
        <w:rPr>
          <w:rFonts w:ascii="Times New Roman" w:hAnsi="Times New Roman" w:eastAsia="宋体"/>
          <w:b w:val="0"/>
          <w:i w:val="0"/>
          <w:color w:val="000000"/>
          <w:sz w:val="24"/>
        </w:rPr>
        <w:t>前端基于 Vite 5 搭建 Vue3 单页应用，使用 Element Plus 提供表单、卡片、表格、标签等组件，使用 ECharts 5 实现图表可视化，使用 vue-router 管理四个页面路由，使用 axios 封装统一的接口请求模块，并在开发环境通过 Vite 将 /api 请求代理到后端 5000 端口。</w:t>
      </w:r>
    </w:p>
    <w:p w14:paraId="09FCE10B">
      <w:pPr>
        <w:spacing w:before="0" w:after="0" w:line="360" w:lineRule="auto"/>
        <w:ind w:firstLine="480" w:firstLineChars="200"/>
        <w:jc w:val="both"/>
      </w:pPr>
      <w:r>
        <w:rPr>
          <w:rFonts w:ascii="Times New Roman" w:hAnsi="Times New Roman" w:eastAsia="宋体"/>
          <w:b w:val="0"/>
          <w:i w:val="0"/>
          <w:color w:val="000000"/>
          <w:sz w:val="24"/>
        </w:rPr>
        <w:t>运行总览页通过统计卡片展示预测、优化、异常记录数量，展示设备额定参数与排放限值，使用双纵轴折线图呈现近期 CO/NOx 排放趋势，并以表格展示近期预警；排放预测页提供 8 项参数表单与典型值快捷填充，结果区以指标卡展示三项预测值与综合等级，并以雷达图呈现参数相对分布；参数优化页提供粒子数、迭代次数滑块与基准参数，结果区展示最优 TEY、提升百分比、达标情况、归一化对比雷达图与最优参数表；异常监测页提供 9 项特征输入与正常/异常工况快捷填充，结果区展示预警等级、异常分值、按四级预警配色的仪表盘与历史日志表。前端在交互细节上对异步渲染、图表随窗口缩放等做了处理，保证业务流程顺畅可用。</w:t>
      </w:r>
    </w:p>
    <w:p w14:paraId="62539B84">
      <w:r>
        <w:br w:type="page"/>
      </w:r>
    </w:p>
    <w:p w14:paraId="1C02833A">
      <w:pPr>
        <w:pStyle w:val="3"/>
        <w:spacing w:before="280" w:after="120" w:line="360" w:lineRule="auto"/>
      </w:pPr>
      <w:bookmarkStart w:id="27" w:name="_Toc14956"/>
      <w:r>
        <w:rPr>
          <w:rFonts w:ascii="Arial" w:hAnsi="Arial" w:eastAsia="黑体"/>
          <w:b/>
          <w:i w:val="0"/>
          <w:color w:val="000000"/>
          <w:sz w:val="32"/>
        </w:rPr>
        <w:t>第5章　测试与集成调试</w:t>
      </w:r>
      <w:bookmarkEnd w:id="27"/>
    </w:p>
    <w:p w14:paraId="69A99309">
      <w:pPr>
        <w:pStyle w:val="4"/>
        <w:spacing w:before="220" w:after="100" w:line="360" w:lineRule="auto"/>
      </w:pPr>
      <w:bookmarkStart w:id="28" w:name="_Toc13745"/>
      <w:r>
        <w:rPr>
          <w:rFonts w:ascii="Arial" w:hAnsi="Arial" w:eastAsia="黑体"/>
          <w:b/>
          <w:i w:val="0"/>
          <w:color w:val="000000"/>
          <w:sz w:val="28"/>
        </w:rPr>
        <w:t>5.1　自动化测试设计与结果</w:t>
      </w:r>
      <w:bookmarkEnd w:id="28"/>
    </w:p>
    <w:p w14:paraId="4174F12D">
      <w:pPr>
        <w:spacing w:before="0" w:after="0" w:line="360" w:lineRule="auto"/>
        <w:ind w:firstLine="480" w:firstLineChars="200"/>
        <w:jc w:val="both"/>
      </w:pPr>
      <w:r>
        <w:rPr>
          <w:rFonts w:ascii="Times New Roman" w:hAnsi="Times New Roman" w:eastAsia="宋体"/>
          <w:b w:val="0"/>
          <w:i w:val="0"/>
          <w:color w:val="000000"/>
          <w:sz w:val="24"/>
        </w:rPr>
        <w:t>课程任务书明确要求项目须通过自带的自动化测试。后端采用 pytest 框架编写接口级测试，借助 Flask 测试客户端在不启动真实网络服务的情况下对接口发起请求，覆盖正常路径、异常输入与数据存档，共设计 11 项测试用例，具体如表5-1所示。</w:t>
      </w:r>
    </w:p>
    <w:p w14:paraId="4A7EA839">
      <w:pPr>
        <w:spacing w:before="80" w:after="80" w:line="240" w:lineRule="auto"/>
        <w:jc w:val="center"/>
      </w:pPr>
      <w:r>
        <w:rPr>
          <w:rFonts w:ascii="Times New Roman" w:hAnsi="Times New Roman" w:eastAsia="宋体"/>
          <w:b/>
          <w:i w:val="0"/>
          <w:color w:val="000000"/>
          <w:sz w:val="21"/>
        </w:rPr>
        <w:t>表5-1　自动化测试用例与结果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701"/>
        <w:gridCol w:w="4365"/>
        <w:gridCol w:w="1134"/>
      </w:tblGrid>
      <w:tr w14:paraId="4CF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37" w:type="dxa"/>
            <w:shd w:val="clear" w:color="auto" w:fill="F2F2F2"/>
            <w:vAlign w:val="center"/>
          </w:tcPr>
          <w:p w14:paraId="77A62222">
            <w:pPr>
              <w:spacing w:before="20" w:after="20" w:line="240" w:lineRule="auto"/>
              <w:jc w:val="center"/>
            </w:pPr>
            <w:r>
              <w:rPr>
                <w:rFonts w:ascii="Times New Roman" w:hAnsi="Times New Roman" w:eastAsia="宋体"/>
                <w:b/>
                <w:i w:val="0"/>
                <w:color w:val="000000"/>
                <w:sz w:val="21"/>
              </w:rPr>
              <w:t>编号</w:t>
            </w:r>
          </w:p>
        </w:tc>
        <w:tc>
          <w:tcPr>
            <w:tcW w:w="1701" w:type="dxa"/>
            <w:shd w:val="clear" w:color="auto" w:fill="F2F2F2"/>
            <w:vAlign w:val="center"/>
          </w:tcPr>
          <w:p w14:paraId="0977C5D0">
            <w:pPr>
              <w:spacing w:before="20" w:after="20" w:line="240" w:lineRule="auto"/>
              <w:jc w:val="center"/>
            </w:pPr>
            <w:r>
              <w:rPr>
                <w:rFonts w:ascii="Times New Roman" w:hAnsi="Times New Roman" w:eastAsia="宋体"/>
                <w:b/>
                <w:i w:val="0"/>
                <w:color w:val="000000"/>
                <w:sz w:val="21"/>
              </w:rPr>
              <w:t>测试用例</w:t>
            </w:r>
          </w:p>
        </w:tc>
        <w:tc>
          <w:tcPr>
            <w:tcW w:w="4365" w:type="dxa"/>
            <w:shd w:val="clear" w:color="auto" w:fill="F2F2F2"/>
            <w:vAlign w:val="center"/>
          </w:tcPr>
          <w:p w14:paraId="31BC842F">
            <w:pPr>
              <w:spacing w:before="20" w:after="20" w:line="240" w:lineRule="auto"/>
              <w:jc w:val="center"/>
            </w:pPr>
            <w:r>
              <w:rPr>
                <w:rFonts w:ascii="Times New Roman" w:hAnsi="Times New Roman" w:eastAsia="宋体"/>
                <w:b/>
                <w:i w:val="0"/>
                <w:color w:val="000000"/>
                <w:sz w:val="21"/>
              </w:rPr>
              <w:t>验证要点</w:t>
            </w:r>
          </w:p>
        </w:tc>
        <w:tc>
          <w:tcPr>
            <w:tcW w:w="1134" w:type="dxa"/>
            <w:shd w:val="clear" w:color="auto" w:fill="F2F2F2"/>
            <w:vAlign w:val="center"/>
          </w:tcPr>
          <w:p w14:paraId="4F17DE78">
            <w:pPr>
              <w:spacing w:before="20" w:after="20" w:line="240" w:lineRule="auto"/>
              <w:jc w:val="center"/>
            </w:pPr>
            <w:r>
              <w:rPr>
                <w:rFonts w:ascii="Times New Roman" w:hAnsi="Times New Roman" w:eastAsia="宋体"/>
                <w:b/>
                <w:i w:val="0"/>
                <w:color w:val="000000"/>
                <w:sz w:val="21"/>
              </w:rPr>
              <w:t>结果</w:t>
            </w:r>
          </w:p>
        </w:tc>
      </w:tr>
      <w:tr w14:paraId="4E12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45757154">
            <w:pPr>
              <w:spacing w:before="20" w:after="20" w:line="240" w:lineRule="auto"/>
              <w:jc w:val="center"/>
            </w:pPr>
            <w:r>
              <w:rPr>
                <w:rFonts w:ascii="Times New Roman" w:hAnsi="Times New Roman" w:eastAsia="宋体"/>
                <w:b w:val="0"/>
                <w:i w:val="0"/>
                <w:color w:val="000000"/>
                <w:sz w:val="21"/>
              </w:rPr>
              <w:t>1</w:t>
            </w:r>
          </w:p>
        </w:tc>
        <w:tc>
          <w:tcPr>
            <w:tcW w:w="1701" w:type="dxa"/>
            <w:vAlign w:val="center"/>
          </w:tcPr>
          <w:p w14:paraId="1A5357D8">
            <w:pPr>
              <w:spacing w:before="20" w:after="20" w:line="240" w:lineRule="auto"/>
              <w:jc w:val="left"/>
            </w:pPr>
            <w:r>
              <w:rPr>
                <w:rFonts w:ascii="Times New Roman" w:hAnsi="Times New Roman" w:eastAsia="宋体"/>
                <w:b w:val="0"/>
                <w:i w:val="0"/>
                <w:color w:val="000000"/>
                <w:sz w:val="21"/>
              </w:rPr>
              <w:t>健康检查</w:t>
            </w:r>
          </w:p>
        </w:tc>
        <w:tc>
          <w:tcPr>
            <w:tcW w:w="4365" w:type="dxa"/>
            <w:vAlign w:val="center"/>
          </w:tcPr>
          <w:p w14:paraId="76265AC2">
            <w:pPr>
              <w:spacing w:before="20" w:after="20" w:line="240" w:lineRule="auto"/>
              <w:jc w:val="left"/>
            </w:pPr>
            <w:r>
              <w:rPr>
                <w:rFonts w:ascii="Times New Roman" w:hAnsi="Times New Roman" w:eastAsia="宋体"/>
                <w:b w:val="0"/>
                <w:i w:val="0"/>
                <w:color w:val="000000"/>
                <w:sz w:val="21"/>
              </w:rPr>
              <w:t>/api/health 返回 200 且状态 ok</w:t>
            </w:r>
          </w:p>
        </w:tc>
        <w:tc>
          <w:tcPr>
            <w:tcW w:w="1134" w:type="dxa"/>
            <w:vAlign w:val="center"/>
          </w:tcPr>
          <w:p w14:paraId="329AC2CA">
            <w:pPr>
              <w:spacing w:before="20" w:after="20" w:line="240" w:lineRule="auto"/>
              <w:jc w:val="center"/>
            </w:pPr>
            <w:r>
              <w:rPr>
                <w:rFonts w:ascii="Times New Roman" w:hAnsi="Times New Roman" w:eastAsia="宋体"/>
                <w:b w:val="0"/>
                <w:i w:val="0"/>
                <w:color w:val="000000"/>
                <w:sz w:val="21"/>
              </w:rPr>
              <w:t>通过</w:t>
            </w:r>
          </w:p>
        </w:tc>
      </w:tr>
      <w:tr w14:paraId="340D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42FC4CE1">
            <w:pPr>
              <w:spacing w:before="20" w:after="20" w:line="240" w:lineRule="auto"/>
              <w:jc w:val="center"/>
            </w:pPr>
            <w:r>
              <w:rPr>
                <w:rFonts w:ascii="Times New Roman" w:hAnsi="Times New Roman" w:eastAsia="宋体"/>
                <w:b w:val="0"/>
                <w:i w:val="0"/>
                <w:color w:val="000000"/>
                <w:sz w:val="21"/>
              </w:rPr>
              <w:t>2</w:t>
            </w:r>
          </w:p>
        </w:tc>
        <w:tc>
          <w:tcPr>
            <w:tcW w:w="1701" w:type="dxa"/>
            <w:vAlign w:val="center"/>
          </w:tcPr>
          <w:p w14:paraId="31D8EC8C">
            <w:pPr>
              <w:spacing w:before="20" w:after="20" w:line="240" w:lineRule="auto"/>
              <w:jc w:val="left"/>
            </w:pPr>
            <w:r>
              <w:rPr>
                <w:rFonts w:ascii="Times New Roman" w:hAnsi="Times New Roman" w:eastAsia="宋体"/>
                <w:b w:val="0"/>
                <w:i w:val="0"/>
                <w:color w:val="000000"/>
                <w:sz w:val="21"/>
              </w:rPr>
              <w:t>预测成功</w:t>
            </w:r>
          </w:p>
        </w:tc>
        <w:tc>
          <w:tcPr>
            <w:tcW w:w="4365" w:type="dxa"/>
            <w:vAlign w:val="center"/>
          </w:tcPr>
          <w:p w14:paraId="46FEBFE5">
            <w:pPr>
              <w:spacing w:before="20" w:after="20" w:line="240" w:lineRule="auto"/>
              <w:jc w:val="left"/>
            </w:pPr>
            <w:r>
              <w:rPr>
                <w:rFonts w:ascii="Times New Roman" w:hAnsi="Times New Roman" w:eastAsia="宋体"/>
                <w:b w:val="0"/>
                <w:i w:val="0"/>
                <w:color w:val="000000"/>
                <w:sz w:val="21"/>
              </w:rPr>
              <w:t>返回 TEY/CO/NOx 且数值在物理合理区间</w:t>
            </w:r>
          </w:p>
        </w:tc>
        <w:tc>
          <w:tcPr>
            <w:tcW w:w="1134" w:type="dxa"/>
            <w:vAlign w:val="center"/>
          </w:tcPr>
          <w:p w14:paraId="35569126">
            <w:pPr>
              <w:spacing w:before="20" w:after="20" w:line="240" w:lineRule="auto"/>
              <w:jc w:val="center"/>
            </w:pPr>
            <w:r>
              <w:rPr>
                <w:rFonts w:ascii="Times New Roman" w:hAnsi="Times New Roman" w:eastAsia="宋体"/>
                <w:b w:val="0"/>
                <w:i w:val="0"/>
                <w:color w:val="000000"/>
                <w:sz w:val="21"/>
              </w:rPr>
              <w:t>通过</w:t>
            </w:r>
          </w:p>
        </w:tc>
      </w:tr>
      <w:tr w14:paraId="2798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5173558F">
            <w:pPr>
              <w:spacing w:before="20" w:after="20" w:line="240" w:lineRule="auto"/>
              <w:jc w:val="center"/>
            </w:pPr>
            <w:r>
              <w:rPr>
                <w:rFonts w:ascii="Times New Roman" w:hAnsi="Times New Roman" w:eastAsia="宋体"/>
                <w:b w:val="0"/>
                <w:i w:val="0"/>
                <w:color w:val="000000"/>
                <w:sz w:val="21"/>
              </w:rPr>
              <w:t>3</w:t>
            </w:r>
          </w:p>
        </w:tc>
        <w:tc>
          <w:tcPr>
            <w:tcW w:w="1701" w:type="dxa"/>
            <w:vAlign w:val="center"/>
          </w:tcPr>
          <w:p w14:paraId="69FABFBE">
            <w:pPr>
              <w:spacing w:before="20" w:after="20" w:line="240" w:lineRule="auto"/>
              <w:jc w:val="left"/>
            </w:pPr>
            <w:r>
              <w:rPr>
                <w:rFonts w:ascii="Times New Roman" w:hAnsi="Times New Roman" w:eastAsia="宋体"/>
                <w:b w:val="0"/>
                <w:i w:val="0"/>
                <w:color w:val="000000"/>
                <w:sz w:val="21"/>
              </w:rPr>
              <w:t>预测缺参数</w:t>
            </w:r>
          </w:p>
        </w:tc>
        <w:tc>
          <w:tcPr>
            <w:tcW w:w="4365" w:type="dxa"/>
            <w:vAlign w:val="center"/>
          </w:tcPr>
          <w:p w14:paraId="5601A0B0">
            <w:pPr>
              <w:spacing w:before="20" w:after="20" w:line="240" w:lineRule="auto"/>
              <w:jc w:val="left"/>
            </w:pPr>
            <w:r>
              <w:rPr>
                <w:rFonts w:ascii="Times New Roman" w:hAnsi="Times New Roman" w:eastAsia="宋体"/>
                <w:b w:val="0"/>
                <w:i w:val="0"/>
                <w:color w:val="000000"/>
                <w:sz w:val="21"/>
              </w:rPr>
              <w:t>缺少必填字段时返回 400</w:t>
            </w:r>
          </w:p>
        </w:tc>
        <w:tc>
          <w:tcPr>
            <w:tcW w:w="1134" w:type="dxa"/>
            <w:vAlign w:val="center"/>
          </w:tcPr>
          <w:p w14:paraId="62A662A2">
            <w:pPr>
              <w:spacing w:before="20" w:after="20" w:line="240" w:lineRule="auto"/>
              <w:jc w:val="center"/>
            </w:pPr>
            <w:r>
              <w:rPr>
                <w:rFonts w:ascii="Times New Roman" w:hAnsi="Times New Roman" w:eastAsia="宋体"/>
                <w:b w:val="0"/>
                <w:i w:val="0"/>
                <w:color w:val="000000"/>
                <w:sz w:val="21"/>
              </w:rPr>
              <w:t>通过</w:t>
            </w:r>
          </w:p>
        </w:tc>
      </w:tr>
      <w:tr w14:paraId="155A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549CA730">
            <w:pPr>
              <w:spacing w:before="20" w:after="20" w:line="240" w:lineRule="auto"/>
              <w:jc w:val="center"/>
            </w:pPr>
            <w:r>
              <w:rPr>
                <w:rFonts w:ascii="Times New Roman" w:hAnsi="Times New Roman" w:eastAsia="宋体"/>
                <w:b w:val="0"/>
                <w:i w:val="0"/>
                <w:color w:val="000000"/>
                <w:sz w:val="21"/>
              </w:rPr>
              <w:t>4</w:t>
            </w:r>
          </w:p>
        </w:tc>
        <w:tc>
          <w:tcPr>
            <w:tcW w:w="1701" w:type="dxa"/>
            <w:vAlign w:val="center"/>
          </w:tcPr>
          <w:p w14:paraId="756737C4">
            <w:pPr>
              <w:spacing w:before="20" w:after="20" w:line="240" w:lineRule="auto"/>
              <w:jc w:val="left"/>
            </w:pPr>
            <w:r>
              <w:rPr>
                <w:rFonts w:ascii="Times New Roman" w:hAnsi="Times New Roman" w:eastAsia="宋体"/>
                <w:b w:val="0"/>
                <w:i w:val="0"/>
                <w:color w:val="000000"/>
                <w:sz w:val="21"/>
              </w:rPr>
              <w:t>预测非法值</w:t>
            </w:r>
          </w:p>
        </w:tc>
        <w:tc>
          <w:tcPr>
            <w:tcW w:w="4365" w:type="dxa"/>
            <w:vAlign w:val="center"/>
          </w:tcPr>
          <w:p w14:paraId="2C28A82D">
            <w:pPr>
              <w:spacing w:before="20" w:after="20" w:line="240" w:lineRule="auto"/>
              <w:jc w:val="left"/>
            </w:pPr>
            <w:r>
              <w:rPr>
                <w:rFonts w:ascii="Times New Roman" w:hAnsi="Times New Roman" w:eastAsia="宋体"/>
                <w:b w:val="0"/>
                <w:i w:val="0"/>
                <w:color w:val="000000"/>
                <w:sz w:val="21"/>
              </w:rPr>
              <w:t>参数非数值时返回 400</w:t>
            </w:r>
          </w:p>
        </w:tc>
        <w:tc>
          <w:tcPr>
            <w:tcW w:w="1134" w:type="dxa"/>
            <w:vAlign w:val="center"/>
          </w:tcPr>
          <w:p w14:paraId="734B59A5">
            <w:pPr>
              <w:spacing w:before="20" w:after="20" w:line="240" w:lineRule="auto"/>
              <w:jc w:val="center"/>
            </w:pPr>
            <w:r>
              <w:rPr>
                <w:rFonts w:ascii="Times New Roman" w:hAnsi="Times New Roman" w:eastAsia="宋体"/>
                <w:b w:val="0"/>
                <w:i w:val="0"/>
                <w:color w:val="000000"/>
                <w:sz w:val="21"/>
              </w:rPr>
              <w:t>通过</w:t>
            </w:r>
          </w:p>
        </w:tc>
      </w:tr>
      <w:tr w14:paraId="0DD9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5D6C02FA">
            <w:pPr>
              <w:spacing w:before="20" w:after="20" w:line="240" w:lineRule="auto"/>
              <w:jc w:val="center"/>
            </w:pPr>
            <w:r>
              <w:rPr>
                <w:rFonts w:ascii="Times New Roman" w:hAnsi="Times New Roman" w:eastAsia="宋体"/>
                <w:b w:val="0"/>
                <w:i w:val="0"/>
                <w:color w:val="000000"/>
                <w:sz w:val="21"/>
              </w:rPr>
              <w:t>5</w:t>
            </w:r>
          </w:p>
        </w:tc>
        <w:tc>
          <w:tcPr>
            <w:tcW w:w="1701" w:type="dxa"/>
            <w:vAlign w:val="center"/>
          </w:tcPr>
          <w:p w14:paraId="64A5DFE8">
            <w:pPr>
              <w:spacing w:before="20" w:after="20" w:line="240" w:lineRule="auto"/>
              <w:jc w:val="left"/>
            </w:pPr>
            <w:r>
              <w:rPr>
                <w:rFonts w:ascii="Times New Roman" w:hAnsi="Times New Roman" w:eastAsia="宋体"/>
                <w:b w:val="0"/>
                <w:i w:val="0"/>
                <w:color w:val="000000"/>
                <w:sz w:val="21"/>
              </w:rPr>
              <w:t>优化成功</w:t>
            </w:r>
          </w:p>
        </w:tc>
        <w:tc>
          <w:tcPr>
            <w:tcW w:w="4365" w:type="dxa"/>
            <w:vAlign w:val="center"/>
          </w:tcPr>
          <w:p w14:paraId="6B375269">
            <w:pPr>
              <w:spacing w:before="20" w:after="20" w:line="240" w:lineRule="auto"/>
              <w:jc w:val="left"/>
            </w:pPr>
            <w:r>
              <w:rPr>
                <w:rFonts w:ascii="Times New Roman" w:hAnsi="Times New Roman" w:eastAsia="宋体"/>
                <w:b w:val="0"/>
                <w:i w:val="0"/>
                <w:color w:val="000000"/>
                <w:sz w:val="21"/>
              </w:rPr>
              <w:t>返回最优参数且均在寻优边界内、含改善量</w:t>
            </w:r>
          </w:p>
        </w:tc>
        <w:tc>
          <w:tcPr>
            <w:tcW w:w="1134" w:type="dxa"/>
            <w:vAlign w:val="center"/>
          </w:tcPr>
          <w:p w14:paraId="0F9E8B7C">
            <w:pPr>
              <w:spacing w:before="20" w:after="20" w:line="240" w:lineRule="auto"/>
              <w:jc w:val="center"/>
            </w:pPr>
            <w:r>
              <w:rPr>
                <w:rFonts w:ascii="Times New Roman" w:hAnsi="Times New Roman" w:eastAsia="宋体"/>
                <w:b w:val="0"/>
                <w:i w:val="0"/>
                <w:color w:val="000000"/>
                <w:sz w:val="21"/>
              </w:rPr>
              <w:t>通过</w:t>
            </w:r>
          </w:p>
        </w:tc>
      </w:tr>
      <w:tr w14:paraId="7F96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35BCE741">
            <w:pPr>
              <w:spacing w:before="20" w:after="20" w:line="240" w:lineRule="auto"/>
              <w:jc w:val="center"/>
            </w:pPr>
            <w:r>
              <w:rPr>
                <w:rFonts w:ascii="Times New Roman" w:hAnsi="Times New Roman" w:eastAsia="宋体"/>
                <w:b w:val="0"/>
                <w:i w:val="0"/>
                <w:color w:val="000000"/>
                <w:sz w:val="21"/>
              </w:rPr>
              <w:t>6</w:t>
            </w:r>
          </w:p>
        </w:tc>
        <w:tc>
          <w:tcPr>
            <w:tcW w:w="1701" w:type="dxa"/>
            <w:vAlign w:val="center"/>
          </w:tcPr>
          <w:p w14:paraId="101BC228">
            <w:pPr>
              <w:spacing w:before="20" w:after="20" w:line="240" w:lineRule="auto"/>
              <w:jc w:val="left"/>
            </w:pPr>
            <w:r>
              <w:rPr>
                <w:rFonts w:ascii="Times New Roman" w:hAnsi="Times New Roman" w:eastAsia="宋体"/>
                <w:b w:val="0"/>
                <w:i w:val="0"/>
                <w:color w:val="000000"/>
                <w:sz w:val="21"/>
              </w:rPr>
              <w:t>正常工况检测</w:t>
            </w:r>
          </w:p>
        </w:tc>
        <w:tc>
          <w:tcPr>
            <w:tcW w:w="4365" w:type="dxa"/>
            <w:vAlign w:val="center"/>
          </w:tcPr>
          <w:p w14:paraId="7D51EF94">
            <w:pPr>
              <w:spacing w:before="20" w:after="20" w:line="240" w:lineRule="auto"/>
              <w:jc w:val="left"/>
            </w:pPr>
            <w:r>
              <w:rPr>
                <w:rFonts w:ascii="Times New Roman" w:hAnsi="Times New Roman" w:eastAsia="宋体"/>
                <w:b w:val="0"/>
                <w:i w:val="0"/>
                <w:color w:val="000000"/>
                <w:sz w:val="21"/>
              </w:rPr>
              <w:t>返回异常布尔值与合法预警等级</w:t>
            </w:r>
          </w:p>
        </w:tc>
        <w:tc>
          <w:tcPr>
            <w:tcW w:w="1134" w:type="dxa"/>
            <w:vAlign w:val="center"/>
          </w:tcPr>
          <w:p w14:paraId="5C74F449">
            <w:pPr>
              <w:spacing w:before="20" w:after="20" w:line="240" w:lineRule="auto"/>
              <w:jc w:val="center"/>
            </w:pPr>
            <w:r>
              <w:rPr>
                <w:rFonts w:ascii="Times New Roman" w:hAnsi="Times New Roman" w:eastAsia="宋体"/>
                <w:b w:val="0"/>
                <w:i w:val="0"/>
                <w:color w:val="000000"/>
                <w:sz w:val="21"/>
              </w:rPr>
              <w:t>通过</w:t>
            </w:r>
          </w:p>
        </w:tc>
      </w:tr>
      <w:tr w14:paraId="54A5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7679B695">
            <w:pPr>
              <w:spacing w:before="20" w:after="20" w:line="240" w:lineRule="auto"/>
              <w:jc w:val="center"/>
            </w:pPr>
            <w:r>
              <w:rPr>
                <w:rFonts w:ascii="Times New Roman" w:hAnsi="Times New Roman" w:eastAsia="宋体"/>
                <w:b w:val="0"/>
                <w:i w:val="0"/>
                <w:color w:val="000000"/>
                <w:sz w:val="21"/>
              </w:rPr>
              <w:t>7</w:t>
            </w:r>
          </w:p>
        </w:tc>
        <w:tc>
          <w:tcPr>
            <w:tcW w:w="1701" w:type="dxa"/>
            <w:vAlign w:val="center"/>
          </w:tcPr>
          <w:p w14:paraId="0A8315A5">
            <w:pPr>
              <w:spacing w:before="20" w:after="20" w:line="240" w:lineRule="auto"/>
              <w:jc w:val="left"/>
            </w:pPr>
            <w:r>
              <w:rPr>
                <w:rFonts w:ascii="Times New Roman" w:hAnsi="Times New Roman" w:eastAsia="宋体"/>
                <w:b w:val="0"/>
                <w:i w:val="0"/>
                <w:color w:val="000000"/>
                <w:sz w:val="21"/>
              </w:rPr>
              <w:t>极端工况检测</w:t>
            </w:r>
          </w:p>
        </w:tc>
        <w:tc>
          <w:tcPr>
            <w:tcW w:w="4365" w:type="dxa"/>
            <w:vAlign w:val="center"/>
          </w:tcPr>
          <w:p w14:paraId="65B7120D">
            <w:pPr>
              <w:spacing w:before="20" w:after="20" w:line="240" w:lineRule="auto"/>
              <w:jc w:val="left"/>
            </w:pPr>
            <w:r>
              <w:rPr>
                <w:rFonts w:ascii="Times New Roman" w:hAnsi="Times New Roman" w:eastAsia="宋体"/>
                <w:b w:val="0"/>
                <w:i w:val="0"/>
                <w:color w:val="000000"/>
                <w:sz w:val="21"/>
              </w:rPr>
              <w:t>明显偏离样本被正确判为异常</w:t>
            </w:r>
          </w:p>
        </w:tc>
        <w:tc>
          <w:tcPr>
            <w:tcW w:w="1134" w:type="dxa"/>
            <w:vAlign w:val="center"/>
          </w:tcPr>
          <w:p w14:paraId="1CD3F7D4">
            <w:pPr>
              <w:spacing w:before="20" w:after="20" w:line="240" w:lineRule="auto"/>
              <w:jc w:val="center"/>
            </w:pPr>
            <w:r>
              <w:rPr>
                <w:rFonts w:ascii="Times New Roman" w:hAnsi="Times New Roman" w:eastAsia="宋体"/>
                <w:b w:val="0"/>
                <w:i w:val="0"/>
                <w:color w:val="000000"/>
                <w:sz w:val="21"/>
              </w:rPr>
              <w:t>通过</w:t>
            </w:r>
          </w:p>
        </w:tc>
      </w:tr>
      <w:tr w14:paraId="5A41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48542D3B">
            <w:pPr>
              <w:spacing w:before="20" w:after="20" w:line="240" w:lineRule="auto"/>
              <w:jc w:val="center"/>
            </w:pPr>
            <w:r>
              <w:rPr>
                <w:rFonts w:ascii="Times New Roman" w:hAnsi="Times New Roman" w:eastAsia="宋体"/>
                <w:b w:val="0"/>
                <w:i w:val="0"/>
                <w:color w:val="000000"/>
                <w:sz w:val="21"/>
              </w:rPr>
              <w:t>8</w:t>
            </w:r>
          </w:p>
        </w:tc>
        <w:tc>
          <w:tcPr>
            <w:tcW w:w="1701" w:type="dxa"/>
            <w:vAlign w:val="center"/>
          </w:tcPr>
          <w:p w14:paraId="2E8D1DCE">
            <w:pPr>
              <w:spacing w:before="20" w:after="20" w:line="240" w:lineRule="auto"/>
              <w:jc w:val="left"/>
            </w:pPr>
            <w:r>
              <w:rPr>
                <w:rFonts w:ascii="Times New Roman" w:hAnsi="Times New Roman" w:eastAsia="宋体"/>
                <w:b w:val="0"/>
                <w:i w:val="0"/>
                <w:color w:val="000000"/>
                <w:sz w:val="21"/>
              </w:rPr>
              <w:t>运行总览</w:t>
            </w:r>
          </w:p>
        </w:tc>
        <w:tc>
          <w:tcPr>
            <w:tcW w:w="4365" w:type="dxa"/>
            <w:vAlign w:val="center"/>
          </w:tcPr>
          <w:p w14:paraId="5C8F9B75">
            <w:pPr>
              <w:spacing w:before="20" w:after="20" w:line="240" w:lineRule="auto"/>
              <w:jc w:val="left"/>
            </w:pPr>
            <w:r>
              <w:rPr>
                <w:rFonts w:ascii="Times New Roman" w:hAnsi="Times New Roman" w:eastAsia="宋体"/>
                <w:b w:val="0"/>
                <w:i w:val="0"/>
                <w:color w:val="000000"/>
                <w:sz w:val="21"/>
              </w:rPr>
              <w:t>返回设备信息与统计字段</w:t>
            </w:r>
          </w:p>
        </w:tc>
        <w:tc>
          <w:tcPr>
            <w:tcW w:w="1134" w:type="dxa"/>
            <w:vAlign w:val="center"/>
          </w:tcPr>
          <w:p w14:paraId="2EFECD9D">
            <w:pPr>
              <w:spacing w:before="20" w:after="20" w:line="240" w:lineRule="auto"/>
              <w:jc w:val="center"/>
            </w:pPr>
            <w:r>
              <w:rPr>
                <w:rFonts w:ascii="Times New Roman" w:hAnsi="Times New Roman" w:eastAsia="宋体"/>
                <w:b w:val="0"/>
                <w:i w:val="0"/>
                <w:color w:val="000000"/>
                <w:sz w:val="21"/>
              </w:rPr>
              <w:t>通过</w:t>
            </w:r>
          </w:p>
        </w:tc>
      </w:tr>
      <w:tr w14:paraId="700F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6255C940">
            <w:pPr>
              <w:spacing w:before="20" w:after="20" w:line="240" w:lineRule="auto"/>
              <w:jc w:val="center"/>
            </w:pPr>
            <w:r>
              <w:rPr>
                <w:rFonts w:ascii="Times New Roman" w:hAnsi="Times New Roman" w:eastAsia="宋体"/>
                <w:b w:val="0"/>
                <w:i w:val="0"/>
                <w:color w:val="000000"/>
                <w:sz w:val="21"/>
              </w:rPr>
              <w:t>9</w:t>
            </w:r>
          </w:p>
        </w:tc>
        <w:tc>
          <w:tcPr>
            <w:tcW w:w="1701" w:type="dxa"/>
            <w:vAlign w:val="center"/>
          </w:tcPr>
          <w:p w14:paraId="1D6F57BD">
            <w:pPr>
              <w:spacing w:before="20" w:after="20" w:line="240" w:lineRule="auto"/>
              <w:jc w:val="left"/>
            </w:pPr>
            <w:r>
              <w:rPr>
                <w:rFonts w:ascii="Times New Roman" w:hAnsi="Times New Roman" w:eastAsia="宋体"/>
                <w:b w:val="0"/>
                <w:i w:val="0"/>
                <w:color w:val="000000"/>
                <w:sz w:val="21"/>
              </w:rPr>
              <w:t>预测后查记录</w:t>
            </w:r>
          </w:p>
        </w:tc>
        <w:tc>
          <w:tcPr>
            <w:tcW w:w="4365" w:type="dxa"/>
            <w:vAlign w:val="center"/>
          </w:tcPr>
          <w:p w14:paraId="4A5EDC78">
            <w:pPr>
              <w:spacing w:before="20" w:after="20" w:line="240" w:lineRule="auto"/>
              <w:jc w:val="left"/>
            </w:pPr>
            <w:r>
              <w:rPr>
                <w:rFonts w:ascii="Times New Roman" w:hAnsi="Times New Roman" w:eastAsia="宋体"/>
                <w:b w:val="0"/>
                <w:i w:val="0"/>
                <w:color w:val="000000"/>
                <w:sz w:val="21"/>
              </w:rPr>
              <w:t>预测存档后记录查询非空</w:t>
            </w:r>
          </w:p>
        </w:tc>
        <w:tc>
          <w:tcPr>
            <w:tcW w:w="1134" w:type="dxa"/>
            <w:vAlign w:val="center"/>
          </w:tcPr>
          <w:p w14:paraId="565D9DC3">
            <w:pPr>
              <w:spacing w:before="20" w:after="20" w:line="240" w:lineRule="auto"/>
              <w:jc w:val="center"/>
            </w:pPr>
            <w:r>
              <w:rPr>
                <w:rFonts w:ascii="Times New Roman" w:hAnsi="Times New Roman" w:eastAsia="宋体"/>
                <w:b w:val="0"/>
                <w:i w:val="0"/>
                <w:color w:val="000000"/>
                <w:sz w:val="21"/>
              </w:rPr>
              <w:t>通过</w:t>
            </w:r>
          </w:p>
        </w:tc>
      </w:tr>
      <w:tr w14:paraId="0FF63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45091B42">
            <w:pPr>
              <w:spacing w:before="20" w:after="20" w:line="240" w:lineRule="auto"/>
              <w:jc w:val="center"/>
            </w:pPr>
            <w:r>
              <w:rPr>
                <w:rFonts w:ascii="Times New Roman" w:hAnsi="Times New Roman" w:eastAsia="宋体"/>
                <w:b w:val="0"/>
                <w:i w:val="0"/>
                <w:color w:val="000000"/>
                <w:sz w:val="21"/>
              </w:rPr>
              <w:t>10</w:t>
            </w:r>
          </w:p>
        </w:tc>
        <w:tc>
          <w:tcPr>
            <w:tcW w:w="1701" w:type="dxa"/>
            <w:vAlign w:val="center"/>
          </w:tcPr>
          <w:p w14:paraId="27CF92FC">
            <w:pPr>
              <w:spacing w:before="20" w:after="20" w:line="240" w:lineRule="auto"/>
              <w:jc w:val="left"/>
            </w:pPr>
            <w:r>
              <w:rPr>
                <w:rFonts w:ascii="Times New Roman" w:hAnsi="Times New Roman" w:eastAsia="宋体"/>
                <w:b w:val="0"/>
                <w:i w:val="0"/>
                <w:color w:val="000000"/>
                <w:sz w:val="21"/>
              </w:rPr>
              <w:t>异常日志查询</w:t>
            </w:r>
          </w:p>
        </w:tc>
        <w:tc>
          <w:tcPr>
            <w:tcW w:w="4365" w:type="dxa"/>
            <w:vAlign w:val="center"/>
          </w:tcPr>
          <w:p w14:paraId="5B2590AD">
            <w:pPr>
              <w:spacing w:before="20" w:after="20" w:line="240" w:lineRule="auto"/>
              <w:jc w:val="left"/>
            </w:pPr>
            <w:r>
              <w:rPr>
                <w:rFonts w:ascii="Times New Roman" w:hAnsi="Times New Roman" w:eastAsia="宋体"/>
                <w:b w:val="0"/>
                <w:i w:val="0"/>
                <w:color w:val="000000"/>
                <w:sz w:val="21"/>
              </w:rPr>
              <w:t>检测后可查询到日志列表</w:t>
            </w:r>
          </w:p>
        </w:tc>
        <w:tc>
          <w:tcPr>
            <w:tcW w:w="1134" w:type="dxa"/>
            <w:vAlign w:val="center"/>
          </w:tcPr>
          <w:p w14:paraId="5B1D5466">
            <w:pPr>
              <w:spacing w:before="20" w:after="20" w:line="240" w:lineRule="auto"/>
              <w:jc w:val="center"/>
            </w:pPr>
            <w:r>
              <w:rPr>
                <w:rFonts w:ascii="Times New Roman" w:hAnsi="Times New Roman" w:eastAsia="宋体"/>
                <w:b w:val="0"/>
                <w:i w:val="0"/>
                <w:color w:val="000000"/>
                <w:sz w:val="21"/>
              </w:rPr>
              <w:t>通过</w:t>
            </w:r>
          </w:p>
        </w:tc>
      </w:tr>
      <w:tr w14:paraId="03AC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vAlign w:val="center"/>
          </w:tcPr>
          <w:p w14:paraId="0171BC0A">
            <w:pPr>
              <w:spacing w:before="20" w:after="20" w:line="240" w:lineRule="auto"/>
              <w:jc w:val="center"/>
            </w:pPr>
            <w:r>
              <w:rPr>
                <w:rFonts w:ascii="Times New Roman" w:hAnsi="Times New Roman" w:eastAsia="宋体"/>
                <w:b w:val="0"/>
                <w:i w:val="0"/>
                <w:color w:val="000000"/>
                <w:sz w:val="21"/>
              </w:rPr>
              <w:t>11</w:t>
            </w:r>
          </w:p>
        </w:tc>
        <w:tc>
          <w:tcPr>
            <w:tcW w:w="1701" w:type="dxa"/>
            <w:vAlign w:val="center"/>
          </w:tcPr>
          <w:p w14:paraId="3CDDE96F">
            <w:pPr>
              <w:spacing w:before="20" w:after="20" w:line="240" w:lineRule="auto"/>
              <w:jc w:val="left"/>
            </w:pPr>
            <w:r>
              <w:rPr>
                <w:rFonts w:ascii="Times New Roman" w:hAnsi="Times New Roman" w:eastAsia="宋体"/>
                <w:b w:val="0"/>
                <w:i w:val="0"/>
                <w:color w:val="000000"/>
                <w:sz w:val="21"/>
              </w:rPr>
              <w:t>模型信息</w:t>
            </w:r>
          </w:p>
        </w:tc>
        <w:tc>
          <w:tcPr>
            <w:tcW w:w="4365" w:type="dxa"/>
            <w:vAlign w:val="center"/>
          </w:tcPr>
          <w:p w14:paraId="08C50289">
            <w:pPr>
              <w:spacing w:before="20" w:after="20" w:line="240" w:lineRule="auto"/>
              <w:jc w:val="left"/>
            </w:pPr>
            <w:r>
              <w:rPr>
                <w:rFonts w:ascii="Times New Roman" w:hAnsi="Times New Roman" w:eastAsia="宋体"/>
                <w:b w:val="0"/>
                <w:i w:val="0"/>
                <w:color w:val="000000"/>
                <w:sz w:val="21"/>
              </w:rPr>
              <w:t>返回三个模型的评估信息</w:t>
            </w:r>
          </w:p>
        </w:tc>
        <w:tc>
          <w:tcPr>
            <w:tcW w:w="1134" w:type="dxa"/>
            <w:vAlign w:val="center"/>
          </w:tcPr>
          <w:p w14:paraId="08815075">
            <w:pPr>
              <w:spacing w:before="20" w:after="20" w:line="240" w:lineRule="auto"/>
              <w:jc w:val="center"/>
            </w:pPr>
            <w:r>
              <w:rPr>
                <w:rFonts w:ascii="Times New Roman" w:hAnsi="Times New Roman" w:eastAsia="宋体"/>
                <w:b w:val="0"/>
                <w:i w:val="0"/>
                <w:color w:val="000000"/>
                <w:sz w:val="21"/>
              </w:rPr>
              <w:t>通过</w:t>
            </w:r>
          </w:p>
        </w:tc>
      </w:tr>
    </w:tbl>
    <w:p w14:paraId="40466FED">
      <w:pPr>
        <w:spacing w:after="40" w:line="240" w:lineRule="auto"/>
      </w:pPr>
    </w:p>
    <w:p w14:paraId="011C2B47">
      <w:pPr>
        <w:spacing w:before="0" w:after="0" w:line="360" w:lineRule="auto"/>
        <w:ind w:firstLine="480" w:firstLineChars="200"/>
        <w:jc w:val="both"/>
      </w:pPr>
      <w:r>
        <w:rPr>
          <w:rFonts w:ascii="Times New Roman" w:hAnsi="Times New Roman" w:eastAsia="宋体"/>
          <w:b w:val="0"/>
          <w:i w:val="0"/>
          <w:color w:val="000000"/>
          <w:sz w:val="24"/>
        </w:rPr>
        <w:t>执行 python -m pytest backend/tests -v 后，11 项测试全部通过。测试不仅验证了功能正确性，也对输入边界（缺参、非法值、极端工况）与数据闭环（计算后可查询存档）进行了约束，为后续重构与联调提供了回归保障。</w:t>
      </w:r>
    </w:p>
    <w:p w14:paraId="25E8E43C">
      <w:pPr>
        <w:pStyle w:val="4"/>
        <w:spacing w:before="220" w:after="100" w:line="360" w:lineRule="auto"/>
      </w:pPr>
      <w:bookmarkStart w:id="29" w:name="_Toc18608"/>
      <w:r>
        <w:rPr>
          <w:rFonts w:ascii="Arial" w:hAnsi="Arial" w:eastAsia="黑体"/>
          <w:b/>
          <w:i w:val="0"/>
          <w:color w:val="000000"/>
          <w:sz w:val="28"/>
        </w:rPr>
        <w:t>5.2　前后端集成联调</w:t>
      </w:r>
      <w:bookmarkEnd w:id="29"/>
    </w:p>
    <w:p w14:paraId="22E197D2">
      <w:pPr>
        <w:spacing w:before="0" w:after="0" w:line="360" w:lineRule="auto"/>
        <w:ind w:firstLine="480" w:firstLineChars="200"/>
        <w:jc w:val="both"/>
      </w:pPr>
      <w:r>
        <w:rPr>
          <w:rFonts w:ascii="Times New Roman" w:hAnsi="Times New Roman" w:eastAsia="宋体"/>
          <w:b w:val="0"/>
          <w:i w:val="0"/>
          <w:color w:val="000000"/>
          <w:sz w:val="24"/>
        </w:rPr>
        <w:t>前后端分别启动后，通过三条链路验证连通性：直接访问后端 5000 端口的健康检查接口、访问前端 5173 端口页面、以及经 Vite 代理访问 5173/api，三者均返回正常。联调过程中重点核对了请求字段与后端校验规则的一致性、JSON 数值精度、记录写入与查询的闭环，以及跨域配置，确认前端经代理可无跨域障碍地调用全部接口。</w:t>
      </w:r>
    </w:p>
    <w:p w14:paraId="7810D007">
      <w:pPr>
        <w:pStyle w:val="4"/>
        <w:spacing w:before="220" w:after="100" w:line="360" w:lineRule="auto"/>
      </w:pPr>
      <w:bookmarkStart w:id="30" w:name="_Toc1275"/>
      <w:r>
        <w:rPr>
          <w:rFonts w:ascii="Arial" w:hAnsi="Arial" w:eastAsia="黑体"/>
          <w:b/>
          <w:i w:val="0"/>
          <w:color w:val="000000"/>
          <w:sz w:val="28"/>
        </w:rPr>
        <w:t>5.3　业务闭环实测</w:t>
      </w:r>
      <w:bookmarkEnd w:id="30"/>
    </w:p>
    <w:p w14:paraId="10C49A1A">
      <w:pPr>
        <w:spacing w:before="0" w:after="0" w:line="360" w:lineRule="auto"/>
        <w:ind w:firstLine="480" w:firstLineChars="200"/>
        <w:jc w:val="both"/>
      </w:pPr>
      <w:r>
        <w:rPr>
          <w:rFonts w:ascii="Times New Roman" w:hAnsi="Times New Roman" w:eastAsia="宋体"/>
          <w:b w:val="0"/>
          <w:i w:val="0"/>
          <w:color w:val="000000"/>
          <w:sz w:val="24"/>
        </w:rPr>
        <w:t>在真实浏览器中逐页走查业务流程：运行总览页正确展示设备信息、记录统计与排放趋势；在排放预测页以典型工况发起预测，得到 TEY 约 134.6、NOx 约 63.9、CO 约 2.05 mg/m³，综合等级为“良”且达标；在参数优化页执行 PSO 寻优，得到最优 TEY 约 176.5，相对基准提升约 31%，排放仍达标，最优参数表完整；在异常监测页填入典型工况判为正常，填入明显偏离的异常工况时正确触发橙色预警（异常分值约 -0.20），历史日志同步更新。实测四个页面渲染正常、无 JavaScript 运行时错误，“参数输入—预测—优化—预警—展示—存档”业务闭环完整走通。</w:t>
      </w:r>
    </w:p>
    <w:p w14:paraId="29F555F5">
      <w:pPr>
        <w:pStyle w:val="4"/>
        <w:spacing w:before="220" w:after="100" w:line="360" w:lineRule="auto"/>
      </w:pPr>
      <w:bookmarkStart w:id="31" w:name="_Toc9522"/>
      <w:r>
        <w:rPr>
          <w:rFonts w:ascii="Arial" w:hAnsi="Arial" w:eastAsia="黑体"/>
          <w:b/>
          <w:i w:val="0"/>
          <w:color w:val="000000"/>
          <w:sz w:val="28"/>
        </w:rPr>
        <w:t>5.4　典型缺陷与调试过程</w:t>
      </w:r>
      <w:bookmarkEnd w:id="31"/>
    </w:p>
    <w:p w14:paraId="0940FB03">
      <w:pPr>
        <w:spacing w:before="0" w:after="0" w:line="360" w:lineRule="auto"/>
        <w:ind w:firstLine="480" w:firstLineChars="200"/>
        <w:jc w:val="both"/>
      </w:pPr>
      <w:r>
        <w:rPr>
          <w:rFonts w:ascii="Times New Roman" w:hAnsi="Times New Roman" w:eastAsia="宋体"/>
          <w:b w:val="0"/>
          <w:i w:val="0"/>
          <w:color w:val="000000"/>
          <w:sz w:val="24"/>
        </w:rPr>
        <w:t>集成调试中处理了若干典型问题。其一是异常监测仪表盘的显示缺陷：初版仪表盘的中央数值与右侧刻度标签、指针相互重叠，且首次点击检测时存在图表容器尚未渲染就初始化导致的空白问题。调试时先通过浏览器检查图表容器尺寸与画布节点，定位到“刻度过密、数值位置冲突”和“响应式数据驱动的容器晚于图表初始化”两个根因，随后将数值独立移至表盘下方、刻度标签间隔显示、按四级预警精确配色并增加区间图例，同时在数据更新后等待 DOM 渲染完成再初始化图表、对容器尺寸为零的情况延迟重试，最终正常与异常工况下均显示正确。</w:t>
      </w:r>
    </w:p>
    <w:p w14:paraId="5A86D75D">
      <w:pPr>
        <w:spacing w:before="0" w:after="0" w:line="360" w:lineRule="auto"/>
        <w:ind w:firstLine="480" w:firstLineChars="200"/>
        <w:jc w:val="both"/>
      </w:pPr>
      <w:r>
        <w:rPr>
          <w:rFonts w:ascii="Times New Roman" w:hAnsi="Times New Roman" w:eastAsia="宋体"/>
          <w:b w:val="0"/>
          <w:i w:val="0"/>
          <w:color w:val="000000"/>
          <w:sz w:val="24"/>
        </w:rPr>
        <w:t>其二是命令行环境相关问题：在 Windows PowerShell 中以内联方式执行含引号的 Python 代码与 JSON 请求体时，引号会被 shell 转义破坏，分别导致语法错误与后端误报“缺少必填参数”；经排查确认并非后端逻辑缺陷，改为将代码与请求体写入临时文件再执行/发送后问题消失。其三是依赖安装时环境变量指向的 pip 配置文件存在编码问题导致安装报错，通过在项目内放置干净的镜像配置并临时指定配置文件路径解决。上述问题的定位均遵循“先读错误信息、区分是代码缺陷还是环境问题、用最小改动修复并回归验证”的原则。</w:t>
      </w:r>
    </w:p>
    <w:p w14:paraId="20E41A98">
      <w:r>
        <w:br w:type="page"/>
      </w:r>
    </w:p>
    <w:p w14:paraId="69D9B218">
      <w:pPr>
        <w:pStyle w:val="3"/>
        <w:spacing w:before="280" w:after="120" w:line="360" w:lineRule="auto"/>
      </w:pPr>
      <w:bookmarkStart w:id="32" w:name="_Toc26232"/>
      <w:r>
        <w:rPr>
          <w:rFonts w:ascii="Arial" w:hAnsi="Arial" w:eastAsia="黑体"/>
          <w:b/>
          <w:i w:val="0"/>
          <w:color w:val="000000"/>
          <w:sz w:val="32"/>
        </w:rPr>
        <w:t>第6章　AI 工具使用披露</w:t>
      </w:r>
      <w:bookmarkEnd w:id="32"/>
    </w:p>
    <w:p w14:paraId="0CE58E61">
      <w:pPr>
        <w:spacing w:before="0" w:after="0" w:line="360" w:lineRule="auto"/>
        <w:ind w:firstLine="480" w:firstLineChars="200"/>
        <w:jc w:val="both"/>
      </w:pPr>
      <w:r>
        <w:rPr>
          <w:rFonts w:ascii="Times New Roman" w:hAnsi="Times New Roman" w:eastAsia="宋体"/>
          <w:b w:val="0"/>
          <w:i w:val="0"/>
          <w:color w:val="000000"/>
          <w:sz w:val="24"/>
        </w:rPr>
        <w:t>本课程设计全程采用课程要求的 vibe coding 方法，即以 AI 编程助手作为协作工具、由人主导需求与架构决策并对生成代码负责。本章如实披露 AI 工具使用情况、提示词策略、典型出错与纠正过程，相关原始交流记录已按阶段以 JSON 形式归档至项目 prompt 目录，可追溯核查。</w:t>
      </w:r>
    </w:p>
    <w:p w14:paraId="068C2124">
      <w:pPr>
        <w:pStyle w:val="4"/>
        <w:spacing w:before="220" w:after="100" w:line="360" w:lineRule="auto"/>
      </w:pPr>
      <w:bookmarkStart w:id="33" w:name="_Toc6481"/>
      <w:r>
        <w:rPr>
          <w:rFonts w:ascii="Arial" w:hAnsi="Arial" w:eastAsia="黑体"/>
          <w:b/>
          <w:i w:val="0"/>
          <w:color w:val="000000"/>
          <w:sz w:val="28"/>
        </w:rPr>
        <w:t>6.1　所用 AI 工具与协作模式</w:t>
      </w:r>
      <w:bookmarkEnd w:id="33"/>
    </w:p>
    <w:p w14:paraId="3B3F074C">
      <w:pPr>
        <w:spacing w:before="0" w:after="0" w:line="360" w:lineRule="auto"/>
        <w:ind w:firstLine="480" w:firstLineChars="200"/>
        <w:jc w:val="both"/>
      </w:pPr>
      <w:r>
        <w:rPr>
          <w:rFonts w:ascii="Times New Roman" w:hAnsi="Times New Roman" w:eastAsia="宋体"/>
          <w:b w:val="0"/>
          <w:i w:val="0"/>
          <w:color w:val="000000"/>
          <w:sz w:val="24"/>
        </w:rPr>
        <w:t>开发过程中主要使用智能编程助手完成需求拆解、样板代码生成、缺陷定位思路与文档初稿，配合本地 IDE 进行代码阅读、修改与调试；版本管理使用 Git 与 GitHub 远程仓库。AI 在其中承担“高效的代码与方案生成器”角色，而技术选型、数据划分策略、模型选择、数据漂移的工程决策、代码正确性审查与最终取舍均由开发者完成，确保对系统每一部分的原理与逻辑能够独立讲解。</w:t>
      </w:r>
    </w:p>
    <w:p w14:paraId="74D4077C">
      <w:pPr>
        <w:pStyle w:val="4"/>
        <w:spacing w:before="220" w:after="100" w:line="360" w:lineRule="auto"/>
      </w:pPr>
      <w:bookmarkStart w:id="34" w:name="_Toc18293"/>
      <w:r>
        <w:rPr>
          <w:rFonts w:ascii="Arial" w:hAnsi="Arial" w:eastAsia="黑体"/>
          <w:b/>
          <w:i w:val="0"/>
          <w:color w:val="000000"/>
          <w:sz w:val="28"/>
        </w:rPr>
        <w:t>6.2　关键提示词策略</w:t>
      </w:r>
      <w:bookmarkEnd w:id="34"/>
    </w:p>
    <w:p w14:paraId="5BE9D501">
      <w:pPr>
        <w:spacing w:before="0" w:after="0" w:line="360" w:lineRule="auto"/>
        <w:ind w:firstLine="480" w:firstLineChars="200"/>
        <w:jc w:val="both"/>
      </w:pPr>
      <w:r>
        <w:rPr>
          <w:rFonts w:ascii="Times New Roman" w:hAnsi="Times New Roman" w:eastAsia="宋体"/>
          <w:b w:val="0"/>
          <w:i w:val="0"/>
          <w:color w:val="000000"/>
          <w:sz w:val="24"/>
        </w:rPr>
        <w:t>结合课程方法与实践，形成了四类可复用的提示词策略。第一，任务拆解与约束前置：单次只提交一个明确的功能点，并在提示中说明技术栈、目录结构、输入输出格式与可量化验收标准，避免一次生成过大、难以审查的代码。第二，上下文工程：修改前先向 AI 同步既有代码与项目约定，要求在现有逻辑上做最小增量修改而非全量重写，以保持代码风格与逻辑一致。第三，规格驱动：先形成需求规格与模块接口约定，再分步实现，每完成一个模块立即运行验证，通过后再进入下一步。第四，错误驱动调试：出现缺陷时将完整报错信息、相关代码与复现步骤一并提供，先让 AI 协助分析可能成因，再由开发者结合实际现象验证，避免盲目改代码。</w:t>
      </w:r>
    </w:p>
    <w:p w14:paraId="7CF9AA39">
      <w:pPr>
        <w:pStyle w:val="4"/>
        <w:spacing w:before="220" w:after="100" w:line="360" w:lineRule="auto"/>
      </w:pPr>
      <w:bookmarkStart w:id="35" w:name="_Toc10475"/>
      <w:r>
        <w:rPr>
          <w:rFonts w:ascii="Arial" w:hAnsi="Arial" w:eastAsia="黑体"/>
          <w:b/>
          <w:i w:val="0"/>
          <w:color w:val="000000"/>
          <w:sz w:val="28"/>
        </w:rPr>
        <w:t>6.3　AI 出错案例及纠正过程</w:t>
      </w:r>
      <w:bookmarkEnd w:id="35"/>
    </w:p>
    <w:p w14:paraId="66F2EE7E">
      <w:pPr>
        <w:spacing w:before="0" w:after="0" w:line="360" w:lineRule="auto"/>
        <w:ind w:firstLine="480" w:firstLineChars="200"/>
        <w:jc w:val="both"/>
      </w:pPr>
      <w:r>
        <w:rPr>
          <w:rFonts w:ascii="Times New Roman" w:hAnsi="Times New Roman" w:eastAsia="宋体"/>
          <w:b w:val="0"/>
          <w:i w:val="0"/>
          <w:color w:val="000000"/>
          <w:sz w:val="24"/>
        </w:rPr>
        <w:t>AI 生成的方案并非总是正确，开发中多个关键问题都是在人工复核下发现并纠正的，典型案例如表6-1所示。</w:t>
      </w:r>
    </w:p>
    <w:p w14:paraId="63751177">
      <w:pPr>
        <w:spacing w:before="80" w:after="80" w:line="240" w:lineRule="auto"/>
        <w:jc w:val="center"/>
      </w:pPr>
      <w:r>
        <w:rPr>
          <w:rFonts w:ascii="Times New Roman" w:hAnsi="Times New Roman" w:eastAsia="宋体"/>
          <w:b/>
          <w:i w:val="0"/>
          <w:color w:val="000000"/>
          <w:sz w:val="21"/>
        </w:rPr>
        <w:t>表6-1　AI 协作中的典型出错案例与纠正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175"/>
        <w:gridCol w:w="3742"/>
      </w:tblGrid>
      <w:tr w14:paraId="45AA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F2F2F2"/>
            <w:vAlign w:val="center"/>
          </w:tcPr>
          <w:p w14:paraId="499F2CD9">
            <w:pPr>
              <w:spacing w:before="20" w:after="20" w:line="240" w:lineRule="auto"/>
              <w:jc w:val="center"/>
            </w:pPr>
            <w:r>
              <w:rPr>
                <w:rFonts w:ascii="Times New Roman" w:hAnsi="Times New Roman" w:eastAsia="宋体"/>
                <w:b/>
                <w:i w:val="0"/>
                <w:color w:val="000000"/>
                <w:sz w:val="21"/>
              </w:rPr>
              <w:t>问题</w:t>
            </w:r>
          </w:p>
        </w:tc>
        <w:tc>
          <w:tcPr>
            <w:tcW w:w="3175" w:type="dxa"/>
            <w:shd w:val="clear" w:color="auto" w:fill="F2F2F2"/>
            <w:vAlign w:val="center"/>
          </w:tcPr>
          <w:p w14:paraId="434D36C1">
            <w:pPr>
              <w:spacing w:before="20" w:after="20" w:line="240" w:lineRule="auto"/>
              <w:jc w:val="center"/>
            </w:pPr>
            <w:r>
              <w:rPr>
                <w:rFonts w:ascii="Times New Roman" w:hAnsi="Times New Roman" w:eastAsia="宋体"/>
                <w:b/>
                <w:i w:val="0"/>
                <w:color w:val="000000"/>
                <w:sz w:val="21"/>
              </w:rPr>
              <w:t>AI 初版表现/风险</w:t>
            </w:r>
          </w:p>
        </w:tc>
        <w:tc>
          <w:tcPr>
            <w:tcW w:w="3742" w:type="dxa"/>
            <w:shd w:val="clear" w:color="auto" w:fill="F2F2F2"/>
            <w:vAlign w:val="center"/>
          </w:tcPr>
          <w:p w14:paraId="553C6FB8">
            <w:pPr>
              <w:spacing w:before="20" w:after="20" w:line="240" w:lineRule="auto"/>
              <w:jc w:val="center"/>
            </w:pPr>
            <w:r>
              <w:rPr>
                <w:rFonts w:ascii="Times New Roman" w:hAnsi="Times New Roman" w:eastAsia="宋体"/>
                <w:b/>
                <w:i w:val="0"/>
                <w:color w:val="000000"/>
                <w:sz w:val="21"/>
              </w:rPr>
              <w:t>人工分析与纠正</w:t>
            </w:r>
          </w:p>
        </w:tc>
      </w:tr>
      <w:tr w14:paraId="3564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7E674E01">
            <w:pPr>
              <w:spacing w:before="20" w:after="20" w:line="240" w:lineRule="auto"/>
              <w:jc w:val="left"/>
            </w:pPr>
            <w:r>
              <w:rPr>
                <w:rFonts w:ascii="Times New Roman" w:hAnsi="Times New Roman" w:eastAsia="宋体"/>
                <w:b w:val="0"/>
                <w:i w:val="0"/>
                <w:color w:val="000000"/>
                <w:sz w:val="21"/>
              </w:rPr>
              <w:t>NOx 跨年预测为负 R²</w:t>
            </w:r>
          </w:p>
        </w:tc>
        <w:tc>
          <w:tcPr>
            <w:tcW w:w="3175" w:type="dxa"/>
            <w:vAlign w:val="center"/>
          </w:tcPr>
          <w:p w14:paraId="700BC53A">
            <w:pPr>
              <w:spacing w:before="20" w:after="20" w:line="240" w:lineRule="auto"/>
              <w:jc w:val="left"/>
            </w:pPr>
            <w:r>
              <w:rPr>
                <w:rFonts w:ascii="Times New Roman" w:hAnsi="Times New Roman" w:eastAsia="宋体"/>
                <w:b w:val="0"/>
                <w:i w:val="0"/>
                <w:color w:val="000000"/>
                <w:sz w:val="21"/>
              </w:rPr>
              <w:t>按年份训练后 NOx 的 R² 为负值，初看易被误判为模型或代码错误而简单调参掩盖</w:t>
            </w:r>
          </w:p>
        </w:tc>
        <w:tc>
          <w:tcPr>
            <w:tcW w:w="3742" w:type="dxa"/>
            <w:vAlign w:val="center"/>
          </w:tcPr>
          <w:p w14:paraId="5CC56A3D">
            <w:pPr>
              <w:spacing w:before="20" w:after="20" w:line="240" w:lineRule="auto"/>
              <w:jc w:val="left"/>
            </w:pPr>
            <w:r>
              <w:rPr>
                <w:rFonts w:ascii="Times New Roman" w:hAnsi="Times New Roman" w:eastAsia="宋体"/>
                <w:b w:val="0"/>
                <w:i w:val="0"/>
                <w:color w:val="000000"/>
                <w:sz w:val="21"/>
              </w:rPr>
              <w:t>人工分组统计发现 NOx 存在跨年数据漂移，改为全量训练部署模型并保留跨年外推指标如实披露</w:t>
            </w:r>
          </w:p>
        </w:tc>
      </w:tr>
      <w:tr w14:paraId="188D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715178EF">
            <w:pPr>
              <w:spacing w:before="20" w:after="20" w:line="240" w:lineRule="auto"/>
              <w:jc w:val="left"/>
            </w:pPr>
            <w:r>
              <w:rPr>
                <w:rFonts w:ascii="Times New Roman" w:hAnsi="Times New Roman" w:eastAsia="宋体"/>
                <w:b w:val="0"/>
                <w:i w:val="0"/>
                <w:color w:val="000000"/>
                <w:sz w:val="21"/>
              </w:rPr>
              <w:t>数据库连接</w:t>
            </w:r>
          </w:p>
        </w:tc>
        <w:tc>
          <w:tcPr>
            <w:tcW w:w="3175" w:type="dxa"/>
            <w:vAlign w:val="center"/>
          </w:tcPr>
          <w:p w14:paraId="4DABE2D3">
            <w:pPr>
              <w:spacing w:before="20" w:after="20" w:line="240" w:lineRule="auto"/>
              <w:jc w:val="left"/>
            </w:pPr>
            <w:r>
              <w:rPr>
                <w:rFonts w:ascii="Times New Roman" w:hAnsi="Times New Roman" w:eastAsia="宋体"/>
                <w:b w:val="0"/>
                <w:i w:val="0"/>
                <w:color w:val="000000"/>
                <w:sz w:val="21"/>
              </w:rPr>
              <w:t>AI 按方案默认直连 MySQL，未考虑本机账户认证不可用会导致系统无法启动</w:t>
            </w:r>
          </w:p>
        </w:tc>
        <w:tc>
          <w:tcPr>
            <w:tcW w:w="3742" w:type="dxa"/>
            <w:vAlign w:val="center"/>
          </w:tcPr>
          <w:p w14:paraId="45A0AFA4">
            <w:pPr>
              <w:spacing w:before="20" w:after="20" w:line="240" w:lineRule="auto"/>
              <w:jc w:val="left"/>
            </w:pPr>
            <w:r>
              <w:rPr>
                <w:rFonts w:ascii="Times New Roman" w:hAnsi="Times New Roman" w:eastAsia="宋体"/>
                <w:b w:val="0"/>
                <w:i w:val="0"/>
                <w:color w:val="000000"/>
                <w:sz w:val="21"/>
              </w:rPr>
              <w:t>人工增加 MySQL 优先、失败自动降级 SQLite 的双后端，保证任意环境可演示且可无缝切回 MySQL</w:t>
            </w:r>
          </w:p>
        </w:tc>
      </w:tr>
      <w:tr w14:paraId="6D64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1BE55A0A">
            <w:pPr>
              <w:spacing w:before="20" w:after="20" w:line="240" w:lineRule="auto"/>
              <w:jc w:val="left"/>
            </w:pPr>
            <w:r>
              <w:rPr>
                <w:rFonts w:ascii="Times New Roman" w:hAnsi="Times New Roman" w:eastAsia="宋体"/>
                <w:b w:val="0"/>
                <w:i w:val="0"/>
                <w:color w:val="000000"/>
                <w:sz w:val="21"/>
              </w:rPr>
              <w:t>优化库依赖</w:t>
            </w:r>
          </w:p>
        </w:tc>
        <w:tc>
          <w:tcPr>
            <w:tcW w:w="3175" w:type="dxa"/>
            <w:vAlign w:val="center"/>
          </w:tcPr>
          <w:p w14:paraId="387B7E0C">
            <w:pPr>
              <w:spacing w:before="20" w:after="20" w:line="240" w:lineRule="auto"/>
              <w:jc w:val="left"/>
            </w:pPr>
            <w:r>
              <w:rPr>
                <w:rFonts w:ascii="Times New Roman" w:hAnsi="Times New Roman" w:eastAsia="宋体"/>
                <w:b w:val="0"/>
                <w:i w:val="0"/>
                <w:color w:val="000000"/>
                <w:sz w:val="21"/>
              </w:rPr>
              <w:t>AI 倾向直接引入 pyswarm 等第三方优化库</w:t>
            </w:r>
          </w:p>
        </w:tc>
        <w:tc>
          <w:tcPr>
            <w:tcW w:w="3742" w:type="dxa"/>
            <w:vAlign w:val="center"/>
          </w:tcPr>
          <w:p w14:paraId="4DDF7643">
            <w:pPr>
              <w:spacing w:before="20" w:after="20" w:line="240" w:lineRule="auto"/>
              <w:jc w:val="left"/>
            </w:pPr>
            <w:r>
              <w:rPr>
                <w:rFonts w:ascii="Times New Roman" w:hAnsi="Times New Roman" w:eastAsia="宋体"/>
                <w:b w:val="0"/>
                <w:i w:val="0"/>
                <w:color w:val="000000"/>
                <w:sz w:val="21"/>
              </w:rPr>
              <w:t>为便于答辩讲清原理、减少依赖，人工决定并实现自包含的 PSO</w:t>
            </w:r>
          </w:p>
        </w:tc>
      </w:tr>
      <w:tr w14:paraId="0FA5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1E1AB98E">
            <w:pPr>
              <w:spacing w:before="20" w:after="20" w:line="240" w:lineRule="auto"/>
              <w:jc w:val="left"/>
            </w:pPr>
            <w:r>
              <w:rPr>
                <w:rFonts w:ascii="Times New Roman" w:hAnsi="Times New Roman" w:eastAsia="宋体"/>
                <w:b w:val="0"/>
                <w:i w:val="0"/>
                <w:color w:val="000000"/>
                <w:sz w:val="21"/>
              </w:rPr>
              <w:t>命令行转义</w:t>
            </w:r>
          </w:p>
        </w:tc>
        <w:tc>
          <w:tcPr>
            <w:tcW w:w="3175" w:type="dxa"/>
            <w:vAlign w:val="center"/>
          </w:tcPr>
          <w:p w14:paraId="0E140359">
            <w:pPr>
              <w:spacing w:before="20" w:after="20" w:line="240" w:lineRule="auto"/>
              <w:jc w:val="left"/>
            </w:pPr>
            <w:r>
              <w:rPr>
                <w:rFonts w:ascii="Times New Roman" w:hAnsi="Times New Roman" w:eastAsia="宋体"/>
                <w:b w:val="0"/>
                <w:i w:val="0"/>
                <w:color w:val="000000"/>
                <w:sz w:val="21"/>
              </w:rPr>
              <w:t>AI 给出的内联命令在 PowerShell 下被引号转义破坏，表现为后端“缺参”</w:t>
            </w:r>
          </w:p>
        </w:tc>
        <w:tc>
          <w:tcPr>
            <w:tcW w:w="3742" w:type="dxa"/>
            <w:vAlign w:val="center"/>
          </w:tcPr>
          <w:p w14:paraId="767C075E">
            <w:pPr>
              <w:spacing w:before="20" w:after="20" w:line="240" w:lineRule="auto"/>
              <w:jc w:val="left"/>
            </w:pPr>
            <w:r>
              <w:rPr>
                <w:rFonts w:ascii="Times New Roman" w:hAnsi="Times New Roman" w:eastAsia="宋体"/>
                <w:b w:val="0"/>
                <w:i w:val="0"/>
                <w:color w:val="000000"/>
                <w:sz w:val="21"/>
              </w:rPr>
              <w:t>人工区分环境问题与代码缺陷，改用临时文件方式执行并验证后端本身无错</w:t>
            </w:r>
          </w:p>
        </w:tc>
      </w:tr>
      <w:tr w14:paraId="226A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5EEBA5E9">
            <w:pPr>
              <w:spacing w:before="20" w:after="20" w:line="240" w:lineRule="auto"/>
              <w:jc w:val="left"/>
            </w:pPr>
            <w:r>
              <w:rPr>
                <w:rFonts w:ascii="Times New Roman" w:hAnsi="Times New Roman" w:eastAsia="宋体"/>
                <w:b w:val="0"/>
                <w:i w:val="0"/>
                <w:color w:val="000000"/>
                <w:sz w:val="21"/>
              </w:rPr>
              <w:t>仪表盘渲染</w:t>
            </w:r>
          </w:p>
        </w:tc>
        <w:tc>
          <w:tcPr>
            <w:tcW w:w="3175" w:type="dxa"/>
            <w:vAlign w:val="center"/>
          </w:tcPr>
          <w:p w14:paraId="3E530C54">
            <w:pPr>
              <w:spacing w:before="20" w:after="20" w:line="240" w:lineRule="auto"/>
              <w:jc w:val="left"/>
            </w:pPr>
            <w:r>
              <w:rPr>
                <w:rFonts w:ascii="Times New Roman" w:hAnsi="Times New Roman" w:eastAsia="宋体"/>
                <w:b w:val="0"/>
                <w:i w:val="0"/>
                <w:color w:val="000000"/>
                <w:sz w:val="21"/>
              </w:rPr>
              <w:t>AI 初版图表存在数值与刻度重叠、首次渲染空白</w:t>
            </w:r>
          </w:p>
        </w:tc>
        <w:tc>
          <w:tcPr>
            <w:tcW w:w="3742" w:type="dxa"/>
            <w:vAlign w:val="center"/>
          </w:tcPr>
          <w:p w14:paraId="1F493233">
            <w:pPr>
              <w:spacing w:before="20" w:after="20" w:line="240" w:lineRule="auto"/>
              <w:jc w:val="left"/>
            </w:pPr>
            <w:r>
              <w:rPr>
                <w:rFonts w:ascii="Times New Roman" w:hAnsi="Times New Roman" w:eastAsia="宋体"/>
                <w:b w:val="0"/>
                <w:i w:val="0"/>
                <w:color w:val="000000"/>
                <w:sz w:val="21"/>
              </w:rPr>
              <w:t>人工定位布局与时序两根因，重设计表盘并在 DOM 就绪后初始化图表</w:t>
            </w:r>
          </w:p>
        </w:tc>
      </w:tr>
    </w:tbl>
    <w:p w14:paraId="5C2BA294">
      <w:pPr>
        <w:spacing w:after="40" w:line="240" w:lineRule="auto"/>
      </w:pPr>
    </w:p>
    <w:p w14:paraId="34209003">
      <w:pPr>
        <w:spacing w:before="0" w:after="0" w:line="360" w:lineRule="auto"/>
        <w:ind w:firstLine="480" w:firstLineChars="200"/>
        <w:jc w:val="both"/>
      </w:pPr>
      <w:r>
        <w:rPr>
          <w:rFonts w:ascii="Times New Roman" w:hAnsi="Times New Roman" w:eastAsia="宋体"/>
          <w:b w:val="0"/>
          <w:i w:val="0"/>
          <w:color w:val="000000"/>
          <w:sz w:val="24"/>
        </w:rPr>
        <w:t>其中最具代表性的是 NOx 数据漂移案例：若不加辨析地通过反复调参把跨年 R²“做高”，反而会掩盖数据分布随时间变化这一真实问题。最终采取的“全量训练保证可用、跨年指标如实披露”的方案，正是人工判断纠正 AI 惯性思路的体现。</w:t>
      </w:r>
    </w:p>
    <w:p w14:paraId="49F6C870">
      <w:pPr>
        <w:pStyle w:val="4"/>
        <w:spacing w:before="220" w:after="100" w:line="360" w:lineRule="auto"/>
      </w:pPr>
      <w:bookmarkStart w:id="36" w:name="_Toc16659"/>
      <w:r>
        <w:rPr>
          <w:rFonts w:ascii="Arial" w:hAnsi="Arial" w:eastAsia="黑体"/>
          <w:b/>
          <w:i w:val="0"/>
          <w:color w:val="000000"/>
          <w:sz w:val="28"/>
        </w:rPr>
        <w:t>6.4　人工审查与代码掌握</w:t>
      </w:r>
      <w:bookmarkEnd w:id="36"/>
    </w:p>
    <w:p w14:paraId="0637E264">
      <w:pPr>
        <w:spacing w:before="0" w:after="0" w:line="360" w:lineRule="auto"/>
        <w:ind w:firstLine="480" w:firstLineChars="200"/>
        <w:jc w:val="both"/>
      </w:pPr>
      <w:r>
        <w:rPr>
          <w:rFonts w:ascii="Times New Roman" w:hAnsi="Times New Roman" w:eastAsia="宋体"/>
          <w:b w:val="0"/>
          <w:i w:val="0"/>
          <w:color w:val="000000"/>
          <w:sz w:val="24"/>
        </w:rPr>
        <w:t>为满足“答辩时随机抽取 AI 生成代码段现场讲解”的要求，开发者对全部生成代码进行了逐段阅读与重构，重点掌握了三部分核心逻辑：一是两阶段排放预测链与排放等级判定规则；二是自实现 PSO 的速度位置更新公式与带惩罚的适应度设计；三是孤立森林异常分值含义与四级预警阈值。对配置、数据库访问、接口校验等支撑代码也均能说明其设计意图。自动化测试与浏览器实测进一步保证了代码行为与理解一致。</w:t>
      </w:r>
    </w:p>
    <w:p w14:paraId="263B4E81">
      <w:pPr>
        <w:pStyle w:val="4"/>
        <w:spacing w:before="220" w:after="100" w:line="360" w:lineRule="auto"/>
      </w:pPr>
      <w:bookmarkStart w:id="37" w:name="_Toc626"/>
      <w:r>
        <w:rPr>
          <w:rFonts w:ascii="Arial" w:hAnsi="Arial" w:eastAsia="黑体"/>
          <w:b/>
          <w:i w:val="0"/>
          <w:color w:val="000000"/>
          <w:sz w:val="28"/>
        </w:rPr>
        <w:t>6.5　AI 协作档案管理</w:t>
      </w:r>
      <w:bookmarkEnd w:id="37"/>
    </w:p>
    <w:p w14:paraId="047D106F">
      <w:pPr>
        <w:spacing w:before="0" w:after="0" w:line="360" w:lineRule="auto"/>
        <w:ind w:firstLine="480" w:firstLineChars="200"/>
        <w:jc w:val="both"/>
      </w:pPr>
      <w:r>
        <w:rPr>
          <w:rFonts w:ascii="Times New Roman" w:hAnsi="Times New Roman" w:eastAsia="宋体"/>
          <w:b w:val="0"/>
          <w:i w:val="0"/>
          <w:color w:val="000000"/>
          <w:sz w:val="24"/>
        </w:rPr>
        <w:t>项目建立 prompt 目录专门管理 AI 协作档案，按阶段保存 JSON 记录，内容包括任务原始要求、分轮次交互要点、关键设计决策及理由、交付物清单与验收对照，并在 README 中登记阶段进度；在会话上下文压缩前及时导出备份，防止记录丢失。通过该档案可以完整还原每个功能的形成过程与决策依据，实现开发过程的可追溯。</w:t>
      </w:r>
    </w:p>
    <w:p w14:paraId="6B7301AC">
      <w:r>
        <w:br w:type="page"/>
      </w:r>
    </w:p>
    <w:p w14:paraId="0EECA2E3">
      <w:pPr>
        <w:pStyle w:val="3"/>
        <w:spacing w:before="280" w:after="120" w:line="360" w:lineRule="auto"/>
      </w:pPr>
      <w:bookmarkStart w:id="38" w:name="_Toc8838"/>
      <w:r>
        <w:rPr>
          <w:rFonts w:ascii="Arial" w:hAnsi="Arial" w:eastAsia="黑体"/>
          <w:b/>
          <w:i w:val="0"/>
          <w:color w:val="000000"/>
          <w:sz w:val="32"/>
        </w:rPr>
        <w:t>第7章　总结与展望</w:t>
      </w:r>
      <w:bookmarkEnd w:id="38"/>
    </w:p>
    <w:p w14:paraId="5F12749B">
      <w:pPr>
        <w:pStyle w:val="4"/>
        <w:spacing w:before="220" w:after="100" w:line="360" w:lineRule="auto"/>
      </w:pPr>
      <w:bookmarkStart w:id="39" w:name="_Toc20642"/>
      <w:r>
        <w:rPr>
          <w:rFonts w:ascii="Arial" w:hAnsi="Arial" w:eastAsia="黑体"/>
          <w:b/>
          <w:i w:val="0"/>
          <w:color w:val="000000"/>
          <w:sz w:val="28"/>
        </w:rPr>
        <w:t>7.1　工作总结</w:t>
      </w:r>
      <w:bookmarkEnd w:id="39"/>
    </w:p>
    <w:p w14:paraId="47107D6B">
      <w:pPr>
        <w:spacing w:before="0" w:after="0" w:line="360" w:lineRule="auto"/>
        <w:ind w:firstLine="480" w:firstLineChars="200"/>
        <w:jc w:val="both"/>
      </w:pPr>
      <w:r>
        <w:rPr>
          <w:rFonts w:ascii="Times New Roman" w:hAnsi="Times New Roman" w:eastAsia="宋体"/>
          <w:b w:val="0"/>
          <w:i w:val="0"/>
          <w:color w:val="000000"/>
          <w:sz w:val="24"/>
        </w:rPr>
        <w:t>本课程设计面向工业燃气轮机运行优化与排放管控场景，完整实现了一套基于 B/S 四层架构的智能系统，主要工作与成果包括：第一，完成了 UCI 燃气轮机排放数据集的获取、质量检查、去重、按年份划分与标准化，形成可复现的数据处理流程与数据资源；第二，实现并训练了 XGBoost 排放预测、自实现 PSO 参数优化、孤立森林异常检测三个算法模块，覆盖监督学习、智能优化、无监督异常检测三个课程技术方向，部署模型 TEY、CO、NOx 的 R² 分别达到 0.9986、0.7942、0.8634；第三，搭建了分层清晰的 Flask 后端与 9 个 RESTful 接口，设计了 MySQL/SQLite 双后端数据库与三张业务表；第四，基于 Vue3 实现四个业务页面与多种可视化，走通完整业务闭环；第五，编写 11 项自动化测试并全部通过，完成前后端联调与浏览器实测；第六，规范使用 Git 版本管理并完整保留 AI 协作追溯档案。</w:t>
      </w:r>
    </w:p>
    <w:p w14:paraId="04689092">
      <w:pPr>
        <w:pStyle w:val="4"/>
        <w:spacing w:before="220" w:after="100" w:line="360" w:lineRule="auto"/>
      </w:pPr>
      <w:bookmarkStart w:id="40" w:name="_Toc10865"/>
      <w:r>
        <w:rPr>
          <w:rFonts w:ascii="Arial" w:hAnsi="Arial" w:eastAsia="黑体"/>
          <w:b/>
          <w:i w:val="0"/>
          <w:color w:val="000000"/>
          <w:sz w:val="28"/>
        </w:rPr>
        <w:t>7.2　存在不足</w:t>
      </w:r>
      <w:bookmarkEnd w:id="40"/>
    </w:p>
    <w:p w14:paraId="0ED83B58">
      <w:pPr>
        <w:spacing w:before="0" w:after="0" w:line="360" w:lineRule="auto"/>
        <w:ind w:firstLine="480" w:firstLineChars="200"/>
        <w:jc w:val="both"/>
      </w:pPr>
      <w:r>
        <w:rPr>
          <w:rFonts w:ascii="Times New Roman" w:hAnsi="Times New Roman" w:eastAsia="宋体"/>
          <w:b w:val="0"/>
          <w:i w:val="0"/>
          <w:color w:val="000000"/>
          <w:sz w:val="24"/>
        </w:rPr>
        <w:t>受课程周期与数据条件限制，系统仍存在不足：其一，CO 与 NOx 的预测精度尤其是跨年外推能力受数据漂移影响，CO 的随机留出 R² 约 0.79、NOx 跨年外推 R² 仅约 0.12，尚有提升空间；其二，PSO 寻优边界与排放限值部分依据数据分布与示例标准设定，与真实机组物理约束、国标限值的贴合程度还需领域专家校核；其三，系统为演示原型，尚未实现用户权限、并发优化与生产级部署；其四，异常检测的分级阈值主要基于模型分值分布设定，缺少真实故障样本的验证。</w:t>
      </w:r>
    </w:p>
    <w:p w14:paraId="50A965B2">
      <w:pPr>
        <w:pStyle w:val="4"/>
        <w:spacing w:before="220" w:after="100" w:line="360" w:lineRule="auto"/>
      </w:pPr>
      <w:bookmarkStart w:id="41" w:name="_Toc782"/>
      <w:r>
        <w:rPr>
          <w:rFonts w:ascii="Arial" w:hAnsi="Arial" w:eastAsia="黑体"/>
          <w:b/>
          <w:i w:val="0"/>
          <w:color w:val="000000"/>
          <w:sz w:val="28"/>
        </w:rPr>
        <w:t>7.3　未来展望</w:t>
      </w:r>
      <w:bookmarkEnd w:id="41"/>
    </w:p>
    <w:p w14:paraId="36D31924">
      <w:pPr>
        <w:spacing w:before="0" w:after="0" w:line="360" w:lineRule="auto"/>
        <w:ind w:firstLine="480" w:firstLineChars="200"/>
        <w:jc w:val="both"/>
      </w:pPr>
      <w:r>
        <w:rPr>
          <w:rFonts w:ascii="Times New Roman" w:hAnsi="Times New Roman" w:eastAsia="宋体"/>
          <w:b w:val="0"/>
          <w:i w:val="0"/>
          <w:color w:val="000000"/>
          <w:sz w:val="24"/>
        </w:rPr>
        <w:t>后续可从以下方向改进：在建模层面，引入滑动窗口重训练、在线学习或域自适应方法以缓解数据漂移，并尝试特征重要性分析与多模型融合提升 CO/NOx 精度；在优化层面，将更多物理约束与多目标优化（同时权衡排放、效率与设备损耗）纳入 PSO，并与遗传算法等进行对比；在工程层面，接入实时数据流实现在线监测与预警推送，补充用户认证、容器化部署与接口压测；在应用层面，结合真实机组标定数据与故障记录，对异常分级阈值进行校准，使系统从课程演示原型逐步走向工程可用。总体而言，本设计较完整地验证了制造智能技术在工业动力装备运行场景的落地路径，也为后续深入研究奠定了基础。</w:t>
      </w:r>
    </w:p>
    <w:p w14:paraId="7FAB93BE">
      <w:r>
        <w:br w:type="page"/>
      </w:r>
    </w:p>
    <w:p w14:paraId="156BEB06">
      <w:pPr>
        <w:pStyle w:val="3"/>
        <w:spacing w:before="280" w:after="120" w:line="360" w:lineRule="auto"/>
      </w:pPr>
      <w:bookmarkStart w:id="42" w:name="_Toc20425"/>
      <w:r>
        <w:rPr>
          <w:rFonts w:ascii="Arial" w:hAnsi="Arial" w:eastAsia="黑体"/>
          <w:b/>
          <w:i w:val="0"/>
          <w:color w:val="000000"/>
          <w:sz w:val="32"/>
        </w:rPr>
        <w:t>参考文献</w:t>
      </w:r>
      <w:bookmarkEnd w:id="42"/>
    </w:p>
    <w:p w14:paraId="349E05FD">
      <w:pPr>
        <w:spacing w:line="360" w:lineRule="auto"/>
        <w:ind w:left="420" w:hanging="420"/>
      </w:pPr>
      <w:r>
        <w:rPr>
          <w:rFonts w:ascii="Times New Roman" w:hAnsi="Times New Roman" w:eastAsia="宋体"/>
          <w:b w:val="0"/>
          <w:i w:val="0"/>
          <w:color w:val="000000"/>
          <w:sz w:val="21"/>
        </w:rPr>
        <w:t>[1] 张智海, 等. 制造智能技术基础[M]. 北京: 清华大学出版社, 2022.</w:t>
      </w:r>
    </w:p>
    <w:p w14:paraId="7508491E">
      <w:pPr>
        <w:spacing w:line="360" w:lineRule="auto"/>
        <w:ind w:left="420" w:hanging="420"/>
      </w:pPr>
      <w:r>
        <w:rPr>
          <w:rFonts w:ascii="Times New Roman" w:hAnsi="Times New Roman" w:eastAsia="宋体"/>
          <w:b w:val="0"/>
          <w:i w:val="0"/>
          <w:color w:val="000000"/>
          <w:sz w:val="21"/>
        </w:rPr>
        <w:t>[2] 杨杰. 人工智能基础[M]. 北京: 机械工业出版社, 2025.</w:t>
      </w:r>
    </w:p>
    <w:p w14:paraId="1B51431F">
      <w:pPr>
        <w:spacing w:line="360" w:lineRule="auto"/>
        <w:ind w:left="420" w:hanging="420"/>
      </w:pPr>
      <w:r>
        <w:rPr>
          <w:rFonts w:ascii="Times New Roman" w:hAnsi="Times New Roman" w:eastAsia="宋体"/>
          <w:b w:val="0"/>
          <w:i w:val="0"/>
          <w:color w:val="000000"/>
          <w:sz w:val="21"/>
        </w:rPr>
        <w:t>[3] 林汝恺. 燃气轮机运行优化与排放控制[M]. 北京: 机械工业出版社, 2021.</w:t>
      </w:r>
    </w:p>
    <w:p w14:paraId="0E9FB63A">
      <w:pPr>
        <w:spacing w:line="360" w:lineRule="auto"/>
        <w:ind w:left="420" w:hanging="420"/>
      </w:pPr>
      <w:r>
        <w:rPr>
          <w:rFonts w:ascii="Times New Roman" w:hAnsi="Times New Roman" w:eastAsia="宋体"/>
          <w:b w:val="0"/>
          <w:i w:val="0"/>
          <w:color w:val="000000"/>
          <w:sz w:val="21"/>
        </w:rPr>
        <w:t>[4] UCI Machine Learning Repository. Gas Turbine CO and NOx Emission Data Set[DB/OL]. https://archive.ics.uci.edu/dataset/551/gas+turbine+co+and+nox+emission+data+set, 2019.</w:t>
      </w:r>
    </w:p>
    <w:p w14:paraId="70217F57">
      <w:pPr>
        <w:spacing w:line="360" w:lineRule="auto"/>
        <w:ind w:left="420" w:hanging="420"/>
      </w:pPr>
      <w:r>
        <w:rPr>
          <w:rFonts w:ascii="Times New Roman" w:hAnsi="Times New Roman" w:eastAsia="宋体"/>
          <w:b w:val="0"/>
          <w:i w:val="0"/>
          <w:color w:val="000000"/>
          <w:sz w:val="21"/>
        </w:rPr>
        <w:t>[5] Chen T, Guestrin C. XGBoost: A Scalable Tree Boosting System[C]. Proceedings of the 22nd ACM SIGKDD International Conference on Knowledge Discovery and Data Mining, 2016: 785-794.</w:t>
      </w:r>
    </w:p>
    <w:p w14:paraId="666DC67D">
      <w:pPr>
        <w:spacing w:line="360" w:lineRule="auto"/>
        <w:ind w:left="420" w:hanging="420"/>
      </w:pPr>
      <w:r>
        <w:rPr>
          <w:rFonts w:ascii="Times New Roman" w:hAnsi="Times New Roman" w:eastAsia="宋体"/>
          <w:b w:val="0"/>
          <w:i w:val="0"/>
          <w:color w:val="000000"/>
          <w:sz w:val="21"/>
        </w:rPr>
        <w:t>[6] Kennedy J, Eberhart R. Particle Swarm Optimization[C]. Proceedings of ICNN'95-International Conference on Neural Networks, 1995: 1942-1948.</w:t>
      </w:r>
    </w:p>
    <w:p w14:paraId="29FED6F7">
      <w:pPr>
        <w:spacing w:line="360" w:lineRule="auto"/>
        <w:ind w:left="420" w:hanging="420"/>
      </w:pPr>
      <w:r>
        <w:rPr>
          <w:rFonts w:ascii="Times New Roman" w:hAnsi="Times New Roman" w:eastAsia="宋体"/>
          <w:b w:val="0"/>
          <w:i w:val="0"/>
          <w:color w:val="000000"/>
          <w:sz w:val="21"/>
        </w:rPr>
        <w:t>[7] Liu F T, Ting K M, Zhou Z H. Isolation Forest[C]. 2008 Eighth IEEE International Conference on Data Mining, 2008: 413-422.</w:t>
      </w:r>
    </w:p>
    <w:p w14:paraId="09C0FCB2">
      <w:r>
        <w:br w:type="page"/>
      </w:r>
    </w:p>
    <w:p w14:paraId="36220C6E">
      <w:pPr>
        <w:pStyle w:val="3"/>
        <w:spacing w:before="280" w:after="120" w:line="360" w:lineRule="auto"/>
      </w:pPr>
      <w:bookmarkStart w:id="43" w:name="_Toc3030"/>
      <w:r>
        <w:rPr>
          <w:rFonts w:ascii="Arial" w:hAnsi="Arial" w:eastAsia="黑体"/>
          <w:b/>
          <w:i w:val="0"/>
          <w:color w:val="000000"/>
          <w:sz w:val="32"/>
        </w:rPr>
        <w:t>附录A　系统运行与复现说明</w:t>
      </w:r>
      <w:bookmarkEnd w:id="43"/>
    </w:p>
    <w:p w14:paraId="424FAFD8">
      <w:pPr>
        <w:spacing w:before="0" w:after="0" w:line="360" w:lineRule="auto"/>
        <w:ind w:firstLine="480" w:firstLineChars="200"/>
        <w:jc w:val="both"/>
      </w:pPr>
      <w:r>
        <w:rPr>
          <w:rFonts w:ascii="Times New Roman" w:hAnsi="Times New Roman" w:eastAsia="宋体"/>
          <w:b w:val="0"/>
          <w:i w:val="0"/>
          <w:color w:val="000000"/>
          <w:sz w:val="24"/>
        </w:rPr>
        <w:t>系统代码与数据均托管于 Git 仓库，运行环境为 Python 3.9 以上、Node.js 16 以上，可选 MySQL 8.0。主要复现步骤如下。</w:t>
      </w:r>
    </w:p>
    <w:p w14:paraId="371357A7">
      <w:pPr>
        <w:spacing w:line="360" w:lineRule="auto"/>
        <w:ind w:firstLine="480" w:firstLineChars="200"/>
        <w:jc w:val="both"/>
      </w:pPr>
      <w:r>
        <w:rPr>
          <w:rFonts w:ascii="Times New Roman" w:hAnsi="Times New Roman" w:eastAsia="宋体"/>
          <w:b w:val="0"/>
          <w:i w:val="0"/>
          <w:color w:val="000000"/>
          <w:sz w:val="24"/>
        </w:rPr>
        <w:t>（1）安装后端依赖：pip install -r backend/requirements.txt；安装前端依赖：在 frontend 目录执行 npm install。</w:t>
      </w:r>
    </w:p>
    <w:p w14:paraId="4635A1F7">
      <w:pPr>
        <w:spacing w:line="360" w:lineRule="auto"/>
        <w:ind w:firstLine="480" w:firstLineChars="200"/>
        <w:jc w:val="both"/>
      </w:pPr>
      <w:r>
        <w:rPr>
          <w:rFonts w:ascii="Times New Roman" w:hAnsi="Times New Roman" w:eastAsia="宋体"/>
          <w:b w:val="0"/>
          <w:i w:val="0"/>
          <w:color w:val="000000"/>
          <w:sz w:val="24"/>
        </w:rPr>
        <w:t>（2）数据预处理（仓库已内置，可选复现）：python scripts/preprocess.py。</w:t>
      </w:r>
    </w:p>
    <w:p w14:paraId="21E85D3E">
      <w:pPr>
        <w:spacing w:line="360" w:lineRule="auto"/>
        <w:ind w:firstLine="480" w:firstLineChars="200"/>
        <w:jc w:val="both"/>
      </w:pPr>
      <w:r>
        <w:rPr>
          <w:rFonts w:ascii="Times New Roman" w:hAnsi="Times New Roman" w:eastAsia="宋体"/>
          <w:b w:val="0"/>
          <w:i w:val="0"/>
          <w:color w:val="000000"/>
          <w:sz w:val="24"/>
        </w:rPr>
        <w:t>（3）模型训练（仓库已内置训练产物，可选复现）：进入 backend 目录执行 python train_models.py，或在项目根执行 python -m backend.train_models。</w:t>
      </w:r>
    </w:p>
    <w:p w14:paraId="22F766FF">
      <w:pPr>
        <w:spacing w:line="360" w:lineRule="auto"/>
        <w:ind w:firstLine="480" w:firstLineChars="200"/>
        <w:jc w:val="both"/>
      </w:pPr>
      <w:r>
        <w:rPr>
          <w:rFonts w:ascii="Times New Roman" w:hAnsi="Times New Roman" w:eastAsia="宋体"/>
          <w:b w:val="0"/>
          <w:i w:val="0"/>
          <w:color w:val="000000"/>
          <w:sz w:val="24"/>
        </w:rPr>
        <w:t>（4）启动后端：进入 backend 目录执行 python app.py 即可（默认监听 http://127.0.0.1:5000），也可在项目根执行 python -m backend.app；后端包内统一采用以 backend 目录为根的绝对导入，两种启动方式均已适配。</w:t>
      </w:r>
    </w:p>
    <w:p w14:paraId="639FDB73">
      <w:pPr>
        <w:spacing w:line="360" w:lineRule="auto"/>
        <w:ind w:firstLine="480" w:firstLineChars="200"/>
        <w:jc w:val="both"/>
      </w:pPr>
      <w:r>
        <w:rPr>
          <w:rFonts w:ascii="Times New Roman" w:hAnsi="Times New Roman" w:eastAsia="宋体"/>
          <w:b w:val="0"/>
          <w:i w:val="0"/>
          <w:color w:val="000000"/>
          <w:sz w:val="24"/>
        </w:rPr>
        <w:t>（5）启动前端：在 frontend 目录执行 npm run dev，浏览器访问 http://127.0.0.1:5173。</w:t>
      </w:r>
    </w:p>
    <w:p w14:paraId="48ED2282">
      <w:pPr>
        <w:spacing w:line="360" w:lineRule="auto"/>
        <w:ind w:firstLine="480" w:firstLineChars="200"/>
        <w:jc w:val="both"/>
      </w:pPr>
      <w:r>
        <w:rPr>
          <w:rFonts w:ascii="Times New Roman" w:hAnsi="Times New Roman" w:eastAsia="宋体"/>
          <w:b w:val="0"/>
          <w:i w:val="0"/>
          <w:color w:val="000000"/>
          <w:sz w:val="24"/>
        </w:rPr>
        <w:t>（6）运行自动化测试：在项目根执行 python -m pytest backend/tests -v，或进入 backend 目录执行 python -m pytest tests -v。</w:t>
      </w:r>
    </w:p>
    <w:p w14:paraId="2F872929">
      <w:pPr>
        <w:spacing w:line="360" w:lineRule="auto"/>
        <w:ind w:firstLine="480" w:firstLineChars="200"/>
        <w:jc w:val="both"/>
      </w:pPr>
      <w:r>
        <w:rPr>
          <w:rFonts w:ascii="Times New Roman" w:hAnsi="Times New Roman" w:eastAsia="宋体"/>
          <w:b w:val="0"/>
          <w:i w:val="0"/>
          <w:color w:val="000000"/>
          <w:sz w:val="24"/>
        </w:rPr>
        <w:t>（7）如需启用 MySQL，设置 DB_TYPE、DB_USER、DB_PASSWORD、DB_NAME 等环境变量后重启后端即可，无需改动代码。</w:t>
      </w:r>
    </w:p>
    <w:sectPr>
      <w:footerReference r:id="rId5"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7610F">
    <w:pPr>
      <w:pStyle w:val="24"/>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PAGE</w:instrText>
    </w:r>
    <w:r>
      <w:rPr>
        <w:rFonts w:ascii="Times New Roman" w:hAnsi="Times New Roman" w:eastAsia="宋体"/>
        <w:b w:val="0"/>
        <w:i w:val="0"/>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D2C69"/>
    <w:rsid w:val="15321F8C"/>
    <w:rsid w:val="5E4E0D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11809</Words>
  <Characters>14988</Characters>
  <Lines>0</Lines>
  <Paragraphs>0</Paragraphs>
  <TotalTime>0</TotalTime>
  <ScaleCrop>false</ScaleCrop>
  <LinksUpToDate>false</LinksUpToDate>
  <CharactersWithSpaces>15877</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牛铭辰</cp:lastModifiedBy>
  <dcterms:modified xsi:type="dcterms:W3CDTF">2026-09-03T07:53:41Z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eyJoZGlkIjoiMTlhYWU3ZjIwMTdhNmM4NTI1MGVlY2U2YTdjNDNlN2QiLCJ1c2VySWQiOiIxODQyNjc3Mjk3In0=</vt:lpwstr>
  </property>
  <property fmtid="{D5CDD505-2E9C-101B-9397-08002B2CF9AE}" pid="3" name="KSOProductBuildVer">
    <vt:lpwstr>2052-12.1.0.28022</vt:lpwstr>
  </property>
  <property fmtid="{D5CDD505-2E9C-101B-9397-08002B2CF9AE}" pid="4" name="ICV">
    <vt:lpwstr>CAFC229E3C664D92A2D794E1DC9C52BB_12</vt:lpwstr>
  </property>
</Properties>
</file>