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45A3E6">
      <w:pPr>
        <w:spacing w:line="276" w:lineRule="auto"/>
        <w:jc w:val="center"/>
        <w:rPr>
          <w:rFonts w:hint="eastAsia" w:ascii="仿宋" w:hAnsi="仿宋" w:eastAsia="仿宋"/>
          <w:b/>
          <w:color w:val="auto"/>
          <w:sz w:val="48"/>
          <w:szCs w:val="36"/>
          <w:lang w:val="en-US" w:eastAsia="zh-CN"/>
        </w:rPr>
      </w:pPr>
      <w:r>
        <w:rPr>
          <w:rFonts w:hint="eastAsia" w:ascii="仿宋" w:hAnsi="仿宋" w:eastAsia="仿宋"/>
          <w:b/>
          <w:color w:val="auto"/>
          <w:sz w:val="32"/>
          <w:szCs w:val="32"/>
          <w:lang w:val="en-US" w:eastAsia="zh-CN"/>
        </w:rPr>
        <w:t>情况说明</w:t>
      </w:r>
    </w:p>
    <w:p w14:paraId="3CD16584">
      <w:pPr>
        <w:spacing w:line="276" w:lineRule="auto"/>
        <w:jc w:val="both"/>
        <w:rPr>
          <w:rFonts w:hint="eastAsia" w:ascii="仿宋" w:hAnsi="仿宋" w:eastAsia="仿宋"/>
          <w:b/>
          <w:color w:val="auto"/>
          <w:sz w:val="21"/>
          <w:szCs w:val="21"/>
          <w:lang w:val="en-US" w:eastAsia="zh-CN"/>
        </w:rPr>
      </w:pPr>
      <w:r>
        <w:rPr>
          <w:rFonts w:hint="eastAsia" w:ascii="仿宋" w:hAnsi="仿宋" w:eastAsia="仿宋"/>
          <w:b/>
          <w:color w:val="auto"/>
          <w:sz w:val="21"/>
          <w:szCs w:val="21"/>
          <w:lang w:val="en-US" w:eastAsia="zh-CN"/>
        </w:rPr>
        <w:t>1、【建议生成封面】当前AI检索报告都是有带封面生成的，具体结构如下：案由（xxx纠纷）+案涉争议问题检索报告+提交人+日期。</w:t>
      </w:r>
    </w:p>
    <w:p w14:paraId="62172EEF">
      <w:pPr>
        <w:spacing w:line="276" w:lineRule="auto"/>
        <w:jc w:val="both"/>
        <w:rPr>
          <w:rFonts w:hint="eastAsia" w:ascii="仿宋" w:hAnsi="仿宋" w:eastAsia="仿宋"/>
          <w:b/>
          <w:color w:val="auto"/>
          <w:sz w:val="21"/>
          <w:szCs w:val="21"/>
          <w:lang w:val="en-US" w:eastAsia="zh-CN"/>
        </w:rPr>
      </w:pPr>
      <w:r>
        <w:rPr>
          <w:rFonts w:hint="eastAsia" w:ascii="仿宋" w:hAnsi="仿宋" w:eastAsia="仿宋"/>
          <w:b/>
          <w:color w:val="auto"/>
          <w:sz w:val="21"/>
          <w:szCs w:val="21"/>
          <w:lang w:val="en-US" w:eastAsia="zh-CN"/>
        </w:rPr>
        <w:t>2、【第1-11页是附上原版文书】这个部分附上高等级法院或者高度相似案例的裁判原文，粘贴的为原版的裁判文书，是Excel表格的内容。</w:t>
      </w:r>
    </w:p>
    <w:p w14:paraId="6F6D038D">
      <w:pPr>
        <w:spacing w:line="276" w:lineRule="auto"/>
        <w:jc w:val="both"/>
        <w:rPr>
          <w:rFonts w:hint="eastAsia" w:ascii="仿宋" w:hAnsi="仿宋" w:eastAsia="仿宋"/>
          <w:b/>
          <w:color w:val="auto"/>
          <w:sz w:val="21"/>
          <w:szCs w:val="21"/>
          <w:lang w:val="en-US" w:eastAsia="zh-CN"/>
        </w:rPr>
      </w:pPr>
      <w:r>
        <w:rPr>
          <w:rFonts w:hint="eastAsia" w:ascii="仿宋" w:hAnsi="仿宋" w:eastAsia="仿宋"/>
          <w:b/>
          <w:color w:val="auto"/>
          <w:sz w:val="21"/>
          <w:szCs w:val="21"/>
          <w:lang w:val="en-US" w:eastAsia="zh-CN"/>
        </w:rPr>
        <w:t>3、【序号的形式不重要】</w:t>
      </w:r>
    </w:p>
    <w:p w14:paraId="0C436975">
      <w:pPr>
        <w:spacing w:line="276" w:lineRule="auto"/>
        <w:jc w:val="both"/>
        <w:rPr>
          <w:rFonts w:hint="default" w:ascii="仿宋" w:hAnsi="仿宋" w:eastAsia="仿宋"/>
          <w:b w:val="0"/>
          <w:bCs/>
          <w:color w:val="auto"/>
          <w:sz w:val="21"/>
          <w:szCs w:val="21"/>
          <w:u w:val="single"/>
          <w:lang w:val="en-US" w:eastAsia="zh-CN"/>
        </w:rPr>
      </w:pPr>
      <w:r>
        <w:rPr>
          <w:rFonts w:hint="eastAsia" w:ascii="仿宋" w:hAnsi="仿宋" w:eastAsia="仿宋"/>
          <w:b/>
          <w:color w:val="auto"/>
          <w:sz w:val="21"/>
          <w:szCs w:val="21"/>
          <w:lang w:val="en-US" w:eastAsia="zh-CN"/>
        </w:rPr>
        <w:t>4、【类案检索报告撰写要点】</w:t>
      </w:r>
      <w:r>
        <w:rPr>
          <w:rFonts w:hint="eastAsia" w:ascii="仿宋" w:hAnsi="仿宋" w:eastAsia="仿宋"/>
          <w:b w:val="0"/>
          <w:bCs/>
          <w:color w:val="auto"/>
          <w:sz w:val="21"/>
          <w:szCs w:val="21"/>
          <w:u w:val="single"/>
          <w:lang w:val="en-US" w:eastAsia="zh-CN"/>
        </w:rPr>
        <w:t>以下可输入给AI作为提示段落。</w:t>
      </w:r>
    </w:p>
    <w:p w14:paraId="643871D4">
      <w:pPr>
        <w:spacing w:line="276" w:lineRule="auto"/>
        <w:jc w:val="both"/>
        <w:rPr>
          <w:rFonts w:hint="default" w:ascii="仿宋" w:hAnsi="仿宋" w:eastAsia="仿宋"/>
          <w:b/>
          <w:color w:val="auto"/>
          <w:sz w:val="21"/>
          <w:szCs w:val="21"/>
          <w:lang w:val="en-US" w:eastAsia="zh-CN"/>
        </w:rPr>
      </w:pPr>
      <w:r>
        <w:rPr>
          <w:rFonts w:hint="eastAsia" w:ascii="仿宋" w:hAnsi="仿宋" w:eastAsia="仿宋"/>
          <w:b/>
          <w:color w:val="auto"/>
          <w:sz w:val="21"/>
          <w:szCs w:val="21"/>
          <w:lang w:val="en-US" w:eastAsia="zh-CN"/>
        </w:rPr>
        <w:t>规范依据：</w:t>
      </w:r>
      <w:r>
        <w:rPr>
          <w:rFonts w:hint="eastAsia" w:ascii="仿宋" w:hAnsi="仿宋" w:eastAsia="仿宋"/>
          <w:b w:val="0"/>
          <w:bCs/>
          <w:color w:val="auto"/>
          <w:sz w:val="21"/>
          <w:szCs w:val="21"/>
          <w:lang w:val="en-US" w:eastAsia="zh-CN"/>
        </w:rPr>
        <w:t>2020 年 7 月最高人民法院《关于统一法律适用加强类案检索的指导意见》</w:t>
      </w:r>
    </w:p>
    <w:p w14:paraId="73A4D30A">
      <w:pPr>
        <w:spacing w:line="276" w:lineRule="auto"/>
        <w:jc w:val="both"/>
        <w:rPr>
          <w:rFonts w:hint="default" w:ascii="仿宋" w:hAnsi="仿宋" w:eastAsia="仿宋"/>
          <w:b/>
          <w:color w:val="auto"/>
          <w:sz w:val="21"/>
          <w:szCs w:val="21"/>
          <w:lang w:val="en-US" w:eastAsia="zh-CN"/>
        </w:rPr>
      </w:pPr>
      <w:r>
        <w:rPr>
          <w:rFonts w:hint="eastAsia" w:ascii="仿宋" w:hAnsi="仿宋" w:eastAsia="仿宋"/>
          <w:b/>
          <w:color w:val="auto"/>
          <w:sz w:val="21"/>
          <w:szCs w:val="21"/>
          <w:lang w:val="en-US" w:eastAsia="zh-CN"/>
        </w:rPr>
        <w:t>撰写要点：</w:t>
      </w:r>
    </w:p>
    <w:p w14:paraId="4BAA4BF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Style w:val="14"/>
          <w:rFonts w:hint="eastAsia" w:ascii="仿宋" w:hAnsi="仿宋" w:eastAsia="仿宋" w:cs="仿宋"/>
          <w:b/>
          <w:bCs/>
          <w:color w:val="auto"/>
          <w:kern w:val="0"/>
          <w:sz w:val="21"/>
          <w:szCs w:val="21"/>
          <w:bdr w:val="none" w:color="auto" w:sz="0" w:space="0"/>
          <w:lang w:val="en-US" w:eastAsia="zh-CN" w:bidi="ar"/>
        </w:rPr>
      </w:pPr>
      <w:r>
        <w:rPr>
          <w:rStyle w:val="14"/>
          <w:rFonts w:hint="eastAsia" w:ascii="仿宋" w:hAnsi="仿宋" w:eastAsia="仿宋" w:cs="仿宋"/>
          <w:b/>
          <w:bCs/>
          <w:color w:val="auto"/>
          <w:kern w:val="0"/>
          <w:sz w:val="21"/>
          <w:szCs w:val="21"/>
          <w:bdr w:val="none" w:color="auto" w:sz="0" w:space="0"/>
          <w:lang w:val="en-US" w:eastAsia="zh-CN" w:bidi="ar"/>
        </w:rPr>
        <w:t>【要点一：开篇必须旗帜鲜明亮明观点</w:t>
      </w:r>
      <w:r>
        <w:rPr>
          <w:rFonts w:hint="eastAsia" w:ascii="仿宋" w:hAnsi="仿宋" w:eastAsia="仿宋" w:cs="仿宋"/>
          <w:color w:val="auto"/>
          <w:kern w:val="0"/>
          <w:sz w:val="21"/>
          <w:szCs w:val="21"/>
          <w:bdr w:val="none" w:color="auto" w:sz="0" w:space="0"/>
          <w:lang w:val="en-US" w:eastAsia="zh-CN" w:bidi="ar"/>
        </w:rPr>
        <w:t>：</w:t>
      </w:r>
      <w:r>
        <w:rPr>
          <w:rStyle w:val="14"/>
          <w:rFonts w:hint="eastAsia" w:ascii="仿宋" w:hAnsi="仿宋" w:eastAsia="仿宋" w:cs="仿宋"/>
          <w:b/>
          <w:bCs/>
          <w:color w:val="auto"/>
          <w:kern w:val="0"/>
          <w:sz w:val="21"/>
          <w:szCs w:val="21"/>
          <w:bdr w:val="none" w:color="auto" w:sz="0" w:space="0"/>
          <w:lang w:val="en-US" w:eastAsia="zh-CN" w:bidi="ar"/>
        </w:rPr>
        <w:t>待论证核心争议问题 + 本方明确法律结论。】</w:t>
      </w:r>
    </w:p>
    <w:p w14:paraId="61E5E06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2" w:firstLineChars="200"/>
        <w:jc w:val="left"/>
        <w:rPr>
          <w:rFonts w:hint="eastAsia" w:ascii="仿宋" w:hAnsi="仿宋" w:eastAsia="仿宋" w:cs="仿宋"/>
          <w:color w:val="auto"/>
          <w:kern w:val="0"/>
          <w:sz w:val="21"/>
          <w:szCs w:val="21"/>
          <w:bdr w:val="none" w:color="auto" w:sz="0" w:space="0"/>
          <w:lang w:val="en-US" w:eastAsia="zh-CN" w:bidi="ar"/>
        </w:rPr>
      </w:pPr>
      <w:r>
        <w:rPr>
          <w:rFonts w:hint="eastAsia" w:ascii="仿宋" w:hAnsi="仿宋" w:eastAsia="仿宋" w:cs="仿宋"/>
          <w:b/>
          <w:bCs/>
          <w:color w:val="auto"/>
          <w:kern w:val="0"/>
          <w:sz w:val="21"/>
          <w:szCs w:val="21"/>
          <w:lang w:val="en-US" w:eastAsia="zh-CN" w:bidi="ar"/>
        </w:rPr>
        <w:t>错误写法</w:t>
      </w:r>
      <w:r>
        <w:rPr>
          <w:rFonts w:hint="eastAsia" w:ascii="仿宋" w:hAnsi="仿宋" w:eastAsia="仿宋" w:cs="仿宋"/>
          <w:color w:val="auto"/>
          <w:kern w:val="0"/>
          <w:sz w:val="21"/>
          <w:szCs w:val="21"/>
          <w:bdr w:val="none" w:color="auto" w:sz="0" w:space="0"/>
          <w:lang w:val="en-US" w:eastAsia="zh-CN" w:bidi="ar"/>
        </w:rPr>
        <w:t>：一是仅说明提交报告、供合议庭参考，完全不提及待论证问题与结论；二是仅点明待论证的法律问题，未明确本方核心结论。</w:t>
      </w:r>
    </w:p>
    <w:p w14:paraId="276CDD9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2" w:firstLineChars="200"/>
        <w:jc w:val="left"/>
        <w:rPr>
          <w:rFonts w:hint="eastAsia" w:ascii="仿宋" w:hAnsi="仿宋" w:eastAsia="仿宋" w:cs="仿宋"/>
          <w:color w:val="auto"/>
          <w:sz w:val="21"/>
          <w:szCs w:val="21"/>
        </w:rPr>
      </w:pPr>
      <w:r>
        <w:rPr>
          <w:rFonts w:hint="eastAsia" w:ascii="仿宋" w:hAnsi="仿宋" w:eastAsia="仿宋" w:cs="仿宋"/>
          <w:b/>
          <w:bCs/>
          <w:color w:val="auto"/>
          <w:kern w:val="0"/>
          <w:sz w:val="21"/>
          <w:szCs w:val="21"/>
          <w:bdr w:val="none" w:color="auto" w:sz="0" w:space="0"/>
          <w:lang w:val="en-US" w:eastAsia="zh-CN" w:bidi="ar"/>
        </w:rPr>
        <w:t>正确示范</w:t>
      </w:r>
      <w:r>
        <w:rPr>
          <w:rFonts w:hint="eastAsia" w:ascii="仿宋" w:hAnsi="仿宋" w:eastAsia="仿宋" w:cs="仿宋"/>
          <w:color w:val="auto"/>
          <w:kern w:val="0"/>
          <w:sz w:val="21"/>
          <w:szCs w:val="21"/>
          <w:bdr w:val="none" w:color="auto" w:sz="0" w:space="0"/>
          <w:lang w:val="en-US" w:eastAsia="zh-CN" w:bidi="ar"/>
        </w:rPr>
        <w:t>：</w:t>
      </w:r>
      <w:r>
        <w:rPr>
          <w:rFonts w:hint="eastAsia" w:ascii="仿宋" w:hAnsi="仿宋" w:eastAsia="仿宋" w:cs="仿宋"/>
          <w:color w:val="C00000"/>
          <w:kern w:val="0"/>
          <w:sz w:val="21"/>
          <w:szCs w:val="21"/>
          <w:bdr w:val="none" w:color="auto" w:sz="0" w:space="0"/>
          <w:lang w:val="en-US" w:eastAsia="zh-CN" w:bidi="ar"/>
        </w:rPr>
        <w:t>开篇直接写明 “本类案检索报告针对本案 XX 核心争议问题提交，检索结果显示，生效裁判均一致认为 XX（本案核心主张，如案涉合同符合法定解除条件应予解除），供合议庭审阅参考”。即开篇即回应合议庭的问题“提交这份报告要解决什么问题、实现什么法律效果”，</w:t>
      </w:r>
    </w:p>
    <w:p w14:paraId="6E41497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Style w:val="14"/>
          <w:rFonts w:hint="eastAsia" w:ascii="仿宋" w:hAnsi="仿宋" w:eastAsia="仿宋" w:cs="仿宋"/>
          <w:b/>
          <w:bCs/>
          <w:color w:val="auto"/>
          <w:kern w:val="0"/>
          <w:sz w:val="21"/>
          <w:szCs w:val="21"/>
          <w:lang w:val="en-US" w:eastAsia="zh-CN" w:bidi="ar"/>
        </w:rPr>
      </w:pPr>
      <w:r>
        <w:rPr>
          <w:rStyle w:val="14"/>
          <w:rFonts w:hint="eastAsia" w:ascii="仿宋" w:hAnsi="仿宋" w:eastAsia="仿宋" w:cs="仿宋"/>
          <w:b/>
          <w:bCs/>
          <w:color w:val="auto"/>
          <w:kern w:val="0"/>
          <w:sz w:val="21"/>
          <w:szCs w:val="21"/>
          <w:lang w:val="en-US" w:eastAsia="zh-CN" w:bidi="ar"/>
        </w:rPr>
        <w:t>【要点二：采用固定的三段式核心结构】</w:t>
      </w:r>
    </w:p>
    <w:p w14:paraId="3B0A0FF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200"/>
        <w:jc w:val="left"/>
        <w:rPr>
          <w:rFonts w:hint="default" w:ascii="仿宋" w:hAnsi="仿宋" w:eastAsia="仿宋" w:cs="仿宋"/>
          <w:color w:val="auto"/>
          <w:kern w:val="0"/>
          <w:sz w:val="21"/>
          <w:szCs w:val="21"/>
          <w:bdr w:val="none" w:color="auto" w:sz="0" w:space="0"/>
          <w:lang w:val="en-US" w:eastAsia="zh-CN" w:bidi="ar"/>
        </w:rPr>
      </w:pPr>
      <w:r>
        <w:rPr>
          <w:rFonts w:hint="eastAsia" w:ascii="仿宋" w:hAnsi="仿宋" w:eastAsia="仿宋" w:cs="仿宋"/>
          <w:color w:val="auto"/>
          <w:kern w:val="0"/>
          <w:sz w:val="21"/>
          <w:szCs w:val="21"/>
          <w:bdr w:val="none" w:color="auto" w:sz="0" w:space="0"/>
          <w:lang w:val="en-US" w:eastAsia="zh-CN" w:bidi="ar"/>
        </w:rPr>
        <w:t>第一部分概括类案基本事实;</w:t>
      </w:r>
    </w:p>
    <w:p w14:paraId="568B30F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200"/>
        <w:jc w:val="left"/>
        <w:rPr>
          <w:rFonts w:hint="eastAsia" w:ascii="仿宋" w:hAnsi="仿宋" w:eastAsia="仿宋" w:cs="仿宋"/>
          <w:color w:val="auto"/>
          <w:kern w:val="0"/>
          <w:sz w:val="21"/>
          <w:szCs w:val="21"/>
          <w:bdr w:val="none" w:color="auto" w:sz="0" w:space="0"/>
          <w:lang w:val="en-US" w:eastAsia="zh-CN" w:bidi="ar"/>
        </w:rPr>
      </w:pPr>
      <w:r>
        <w:rPr>
          <w:rFonts w:hint="eastAsia" w:ascii="仿宋" w:hAnsi="仿宋" w:eastAsia="仿宋" w:cs="仿宋"/>
          <w:color w:val="auto"/>
          <w:kern w:val="0"/>
          <w:sz w:val="21"/>
          <w:szCs w:val="21"/>
          <w:bdr w:val="none" w:color="auto" w:sz="0" w:space="0"/>
          <w:lang w:val="en-US" w:eastAsia="zh-CN" w:bidi="ar"/>
        </w:rPr>
        <w:t>第二部分总结类案核心裁判要旨;</w:t>
      </w:r>
    </w:p>
    <w:p w14:paraId="09E15E3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200"/>
        <w:jc w:val="left"/>
        <w:rPr>
          <w:rFonts w:hint="eastAsia" w:ascii="仿宋" w:hAnsi="仿宋" w:eastAsia="仿宋" w:cs="仿宋"/>
          <w:color w:val="auto"/>
          <w:kern w:val="0"/>
          <w:sz w:val="21"/>
          <w:szCs w:val="21"/>
          <w:bdr w:val="none" w:color="auto" w:sz="0" w:space="0"/>
          <w:lang w:val="en-US" w:eastAsia="zh-CN" w:bidi="ar"/>
        </w:rPr>
      </w:pPr>
      <w:r>
        <w:rPr>
          <w:rFonts w:hint="eastAsia" w:ascii="仿宋" w:hAnsi="仿宋" w:eastAsia="仿宋" w:cs="仿宋"/>
          <w:color w:val="auto"/>
          <w:kern w:val="0"/>
          <w:sz w:val="21"/>
          <w:szCs w:val="21"/>
          <w:bdr w:val="none" w:color="auto" w:sz="0" w:space="0"/>
          <w:lang w:val="en-US" w:eastAsia="zh-CN" w:bidi="ar"/>
        </w:rPr>
        <w:t>第三部分解读类案与本案的关联性并得出最终结论。</w:t>
      </w:r>
    </w:p>
    <w:p w14:paraId="6F8F09D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仿宋" w:hAnsi="仿宋" w:eastAsia="仿宋" w:cs="仿宋"/>
          <w:b/>
          <w:bCs/>
          <w:color w:val="auto"/>
          <w:kern w:val="0"/>
          <w:sz w:val="21"/>
          <w:szCs w:val="21"/>
          <w:bdr w:val="none" w:color="auto" w:sz="0" w:space="0"/>
          <w:lang w:val="en-US" w:eastAsia="zh-CN" w:bidi="ar"/>
        </w:rPr>
      </w:pPr>
      <w:r>
        <w:rPr>
          <w:rFonts w:hint="eastAsia" w:ascii="仿宋" w:hAnsi="仿宋" w:eastAsia="仿宋" w:cs="仿宋"/>
          <w:b/>
          <w:bCs/>
          <w:color w:val="auto"/>
          <w:kern w:val="0"/>
          <w:sz w:val="21"/>
          <w:szCs w:val="21"/>
          <w:bdr w:val="none" w:color="auto" w:sz="0" w:space="0"/>
          <w:lang w:val="en-US" w:eastAsia="zh-CN" w:bidi="ar"/>
        </w:rPr>
        <w:t>【要点三：</w:t>
      </w:r>
      <w:r>
        <w:rPr>
          <w:rFonts w:hint="eastAsia" w:ascii="仿宋" w:hAnsi="仿宋" w:eastAsia="仿宋" w:cs="仿宋"/>
          <w:b/>
          <w:bCs/>
          <w:color w:val="auto"/>
          <w:kern w:val="0"/>
          <w:sz w:val="21"/>
          <w:szCs w:val="21"/>
          <w:lang w:val="en-US" w:eastAsia="zh-CN" w:bidi="ar"/>
        </w:rPr>
        <w:t>坚</w:t>
      </w:r>
      <w:r>
        <w:rPr>
          <w:rStyle w:val="14"/>
          <w:rFonts w:hint="eastAsia" w:ascii="仿宋" w:hAnsi="仿宋" w:eastAsia="仿宋" w:cs="仿宋"/>
          <w:b/>
          <w:bCs/>
          <w:color w:val="auto"/>
          <w:kern w:val="0"/>
          <w:sz w:val="21"/>
          <w:szCs w:val="21"/>
          <w:lang w:val="en-US" w:eastAsia="zh-CN" w:bidi="ar"/>
        </w:rPr>
        <w:t>类案事实梳理详略得当，高度绑定本案</w:t>
      </w:r>
      <w:r>
        <w:rPr>
          <w:rFonts w:hint="eastAsia" w:ascii="仿宋" w:hAnsi="仿宋" w:eastAsia="仿宋" w:cs="仿宋"/>
          <w:b/>
          <w:bCs/>
          <w:color w:val="auto"/>
          <w:kern w:val="0"/>
          <w:sz w:val="21"/>
          <w:szCs w:val="21"/>
          <w:bdr w:val="none" w:color="auto" w:sz="0" w:space="0"/>
          <w:lang w:val="en-US" w:eastAsia="zh-CN" w:bidi="ar"/>
        </w:rPr>
        <w:t>】</w:t>
      </w:r>
    </w:p>
    <w:p w14:paraId="49EAB49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200"/>
        <w:jc w:val="left"/>
        <w:rPr>
          <w:rFonts w:hint="eastAsia" w:ascii="仿宋" w:hAnsi="仿宋" w:eastAsia="仿宋" w:cs="仿宋"/>
          <w:color w:val="auto"/>
          <w:kern w:val="0"/>
          <w:sz w:val="21"/>
          <w:szCs w:val="21"/>
          <w:bdr w:val="none" w:color="auto" w:sz="0" w:space="0"/>
          <w:lang w:val="en-US" w:eastAsia="zh-CN" w:bidi="ar"/>
        </w:rPr>
      </w:pPr>
      <w:r>
        <w:rPr>
          <w:rFonts w:hint="eastAsia" w:ascii="仿宋" w:hAnsi="仿宋" w:eastAsia="仿宋" w:cs="仿宋"/>
          <w:color w:val="auto"/>
          <w:kern w:val="0"/>
          <w:sz w:val="21"/>
          <w:szCs w:val="21"/>
          <w:bdr w:val="none" w:color="auto" w:sz="0" w:space="0"/>
          <w:lang w:val="en-US" w:eastAsia="zh-CN" w:bidi="ar"/>
        </w:rPr>
        <w:t>仅概括与本案争议焦点直接相关、具有相似性的类案事实，禁止面面俱到，更不得直接复制粘贴原裁判文书的完整事实认定内容，需做针对性精炼概括。</w:t>
      </w:r>
    </w:p>
    <w:p w14:paraId="4665DE5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200"/>
        <w:jc w:val="left"/>
        <w:rPr>
          <w:rFonts w:hint="eastAsia" w:ascii="仿宋" w:hAnsi="仿宋" w:eastAsia="仿宋" w:cs="仿宋"/>
          <w:color w:val="auto"/>
          <w:kern w:val="0"/>
          <w:sz w:val="21"/>
          <w:szCs w:val="21"/>
          <w:bdr w:val="none" w:color="auto" w:sz="0" w:space="0"/>
          <w:lang w:val="en-US" w:eastAsia="zh-CN" w:bidi="ar"/>
        </w:rPr>
      </w:pPr>
      <w:r>
        <w:rPr>
          <w:rFonts w:hint="eastAsia" w:ascii="仿宋" w:hAnsi="仿宋" w:eastAsia="仿宋" w:cs="仿宋"/>
          <w:color w:val="auto"/>
          <w:kern w:val="0"/>
          <w:sz w:val="21"/>
          <w:szCs w:val="21"/>
          <w:bdr w:val="none" w:color="auto" w:sz="0" w:space="0"/>
          <w:lang w:val="en-US" w:eastAsia="zh-CN" w:bidi="ar"/>
        </w:rPr>
        <w:t>事实概括完成后，必须明确点出类案事实与本案待审事实的核心相似点，建立类案与本案的强关联，让裁判者快速形成代入感，直观理解这份报告的参考价值。</w:t>
      </w:r>
    </w:p>
    <w:p w14:paraId="2182C04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仿宋" w:hAnsi="仿宋" w:eastAsia="仿宋" w:cs="仿宋"/>
          <w:color w:val="auto"/>
          <w:kern w:val="0"/>
          <w:sz w:val="21"/>
          <w:szCs w:val="21"/>
          <w:bdr w:val="none" w:color="auto" w:sz="0" w:space="0"/>
          <w:lang w:val="en-US" w:eastAsia="zh-CN" w:bidi="ar"/>
        </w:rPr>
      </w:pPr>
      <w:r>
        <w:rPr>
          <w:rStyle w:val="14"/>
          <w:rFonts w:hint="eastAsia" w:ascii="仿宋" w:hAnsi="仿宋" w:eastAsia="仿宋" w:cs="仿宋"/>
          <w:b/>
          <w:bCs/>
          <w:color w:val="auto"/>
          <w:kern w:val="0"/>
          <w:sz w:val="21"/>
          <w:szCs w:val="21"/>
          <w:bdr w:val="none" w:color="auto" w:sz="0" w:space="0"/>
          <w:lang w:val="en-US" w:eastAsia="zh-CN" w:bidi="ar"/>
        </w:rPr>
        <w:t>【要点四：裁判要旨总结高度聚焦核心主张</w:t>
      </w:r>
      <w:r>
        <w:rPr>
          <w:rFonts w:hint="eastAsia" w:ascii="仿宋" w:hAnsi="仿宋" w:eastAsia="仿宋" w:cs="仿宋"/>
          <w:color w:val="auto"/>
          <w:kern w:val="0"/>
          <w:sz w:val="21"/>
          <w:szCs w:val="21"/>
          <w:bdr w:val="none" w:color="auto" w:sz="0" w:space="0"/>
          <w:lang w:val="en-US" w:eastAsia="zh-CN" w:bidi="ar"/>
        </w:rPr>
        <w:t>】</w:t>
      </w:r>
    </w:p>
    <w:p w14:paraId="6B40BFD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200"/>
        <w:jc w:val="left"/>
        <w:rPr>
          <w:rFonts w:hint="eastAsia" w:ascii="仿宋" w:hAnsi="仿宋" w:eastAsia="仿宋" w:cs="仿宋"/>
          <w:color w:val="auto"/>
          <w:kern w:val="0"/>
          <w:sz w:val="21"/>
          <w:szCs w:val="21"/>
          <w:bdr w:val="none" w:color="auto" w:sz="0" w:space="0"/>
          <w:lang w:val="en-US" w:eastAsia="zh-CN" w:bidi="ar"/>
        </w:rPr>
      </w:pPr>
      <w:r>
        <w:rPr>
          <w:rFonts w:hint="eastAsia" w:ascii="仿宋" w:hAnsi="仿宋" w:eastAsia="仿宋" w:cs="仿宋"/>
          <w:color w:val="auto"/>
          <w:kern w:val="0"/>
          <w:sz w:val="21"/>
          <w:szCs w:val="21"/>
          <w:bdr w:val="none" w:color="auto" w:sz="0" w:space="0"/>
          <w:lang w:val="en-US" w:eastAsia="zh-CN" w:bidi="ar"/>
        </w:rPr>
        <w:t>仅围绕本方待论证的核心法律观点提炼、总结裁判要旨，与核心主张无关的裁判观点、个案事实一律剔除。</w:t>
      </w:r>
    </w:p>
    <w:p w14:paraId="571EDFA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200"/>
        <w:jc w:val="left"/>
        <w:rPr>
          <w:rFonts w:hint="eastAsia" w:ascii="仿宋" w:hAnsi="仿宋" w:eastAsia="仿宋" w:cs="仿宋"/>
          <w:color w:val="auto"/>
          <w:kern w:val="0"/>
          <w:sz w:val="21"/>
          <w:szCs w:val="21"/>
          <w:bdr w:val="none" w:color="auto" w:sz="0" w:space="0"/>
          <w:lang w:val="en-US" w:eastAsia="zh-CN" w:bidi="ar"/>
        </w:rPr>
      </w:pPr>
      <w:r>
        <w:rPr>
          <w:rFonts w:hint="eastAsia" w:ascii="仿宋" w:hAnsi="仿宋" w:eastAsia="仿宋" w:cs="仿宋"/>
          <w:color w:val="auto"/>
          <w:kern w:val="0"/>
          <w:sz w:val="21"/>
          <w:szCs w:val="21"/>
          <w:bdr w:val="none" w:color="auto" w:sz="0" w:space="0"/>
          <w:lang w:val="en-US" w:eastAsia="zh-CN" w:bidi="ar"/>
        </w:rPr>
        <w:t>禁止全文复制粘贴原判决原文，需做针对性的总结概括；仅对支撑核心主张的、极为关键的判词原文，可进行摘抄。</w:t>
      </w:r>
    </w:p>
    <w:p w14:paraId="77D6B81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200"/>
        <w:jc w:val="left"/>
        <w:rPr>
          <w:rFonts w:hint="eastAsia" w:ascii="仿宋" w:hAnsi="仿宋" w:eastAsia="仿宋" w:cs="仿宋"/>
          <w:color w:val="auto"/>
          <w:kern w:val="0"/>
          <w:sz w:val="21"/>
          <w:szCs w:val="21"/>
          <w:bdr w:val="none" w:color="auto" w:sz="0" w:space="0"/>
          <w:lang w:val="en-US" w:eastAsia="zh-CN" w:bidi="ar"/>
        </w:rPr>
      </w:pPr>
      <w:r>
        <w:rPr>
          <w:rFonts w:hint="eastAsia" w:ascii="仿宋" w:hAnsi="仿宋" w:eastAsia="仿宋" w:cs="仿宋"/>
          <w:color w:val="auto"/>
          <w:kern w:val="0"/>
          <w:sz w:val="21"/>
          <w:szCs w:val="21"/>
          <w:bdr w:val="none" w:color="auto" w:sz="0" w:space="0"/>
          <w:lang w:val="en-US" w:eastAsia="zh-CN" w:bidi="ar"/>
        </w:rPr>
        <w:t>示例：若核心主张是 “特定事实下信托合同解除后应自始恢复原状”，仅需围绕该观点提炼裁判要旨，无需涉及合同效力、合同成立等已无争议的无关内容。</w:t>
      </w:r>
    </w:p>
    <w:p w14:paraId="399E385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仿宋" w:hAnsi="仿宋" w:eastAsia="仿宋" w:cs="仿宋"/>
          <w:color w:val="auto"/>
          <w:sz w:val="21"/>
          <w:szCs w:val="21"/>
        </w:rPr>
      </w:pPr>
      <w:r>
        <w:rPr>
          <w:rStyle w:val="14"/>
          <w:rFonts w:hint="eastAsia" w:ascii="仿宋" w:hAnsi="仿宋" w:eastAsia="仿宋" w:cs="仿宋"/>
          <w:b/>
          <w:bCs/>
          <w:color w:val="auto"/>
          <w:kern w:val="0"/>
          <w:sz w:val="21"/>
          <w:szCs w:val="21"/>
          <w:bdr w:val="none" w:color="auto" w:sz="0" w:space="0"/>
          <w:lang w:val="en-US" w:eastAsia="zh-CN" w:bidi="ar"/>
        </w:rPr>
        <w:t>【要点五：结论清晰有力，形成完整论证闭环</w:t>
      </w:r>
      <w:r>
        <w:rPr>
          <w:rFonts w:hint="eastAsia" w:ascii="仿宋" w:hAnsi="仿宋" w:eastAsia="仿宋" w:cs="仿宋"/>
          <w:color w:val="auto"/>
          <w:kern w:val="0"/>
          <w:sz w:val="21"/>
          <w:szCs w:val="21"/>
          <w:bdr w:val="none" w:color="auto" w:sz="0" w:space="0"/>
          <w:lang w:val="en-US" w:eastAsia="zh-CN" w:bidi="ar"/>
        </w:rPr>
        <w:t>】</w:t>
      </w:r>
    </w:p>
    <w:p w14:paraId="4C31DDD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200"/>
        <w:jc w:val="left"/>
        <w:rPr>
          <w:rFonts w:hint="eastAsia" w:ascii="仿宋" w:hAnsi="仿宋" w:eastAsia="仿宋" w:cs="仿宋"/>
          <w:color w:val="auto"/>
          <w:kern w:val="0"/>
          <w:sz w:val="21"/>
          <w:szCs w:val="21"/>
          <w:lang w:val="en-US" w:eastAsia="zh-CN" w:bidi="ar"/>
        </w:rPr>
      </w:pPr>
      <w:r>
        <w:rPr>
          <w:rFonts w:hint="eastAsia" w:ascii="仿宋" w:hAnsi="仿宋" w:eastAsia="仿宋" w:cs="仿宋"/>
          <w:color w:val="auto"/>
          <w:kern w:val="0"/>
          <w:sz w:val="21"/>
          <w:szCs w:val="21"/>
          <w:lang w:val="en-US" w:eastAsia="zh-CN" w:bidi="ar"/>
        </w:rPr>
        <w:t>再次重申类案与本案的核心事实相似点，强化类案的可适用性；</w:t>
      </w:r>
    </w:p>
    <w:p w14:paraId="00166D1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200"/>
        <w:jc w:val="left"/>
        <w:rPr>
          <w:rFonts w:hint="eastAsia" w:ascii="仿宋" w:hAnsi="仿宋" w:eastAsia="仿宋" w:cs="仿宋"/>
          <w:color w:val="auto"/>
          <w:kern w:val="0"/>
          <w:sz w:val="21"/>
          <w:szCs w:val="21"/>
          <w:lang w:val="en-US" w:eastAsia="zh-CN" w:bidi="ar"/>
        </w:rPr>
      </w:pPr>
      <w:r>
        <w:rPr>
          <w:rFonts w:hint="eastAsia" w:ascii="仿宋" w:hAnsi="仿宋" w:eastAsia="仿宋" w:cs="仿宋"/>
          <w:color w:val="auto"/>
          <w:kern w:val="0"/>
          <w:sz w:val="21"/>
          <w:szCs w:val="21"/>
          <w:lang w:val="en-US" w:eastAsia="zh-CN" w:bidi="ar"/>
        </w:rPr>
        <w:t>明确提请合议庭参考/参照的核心裁判观点，以及对应的核心理由；</w:t>
      </w:r>
    </w:p>
    <w:p w14:paraId="6D3AAEE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2" w:firstLineChars="200"/>
        <w:jc w:val="left"/>
        <w:rPr>
          <w:rFonts w:hint="default" w:ascii="仿宋" w:hAnsi="仿宋" w:eastAsia="仿宋" w:cs="仿宋"/>
          <w:color w:val="C00000"/>
          <w:kern w:val="0"/>
          <w:sz w:val="21"/>
          <w:szCs w:val="21"/>
          <w:lang w:val="en-US" w:eastAsia="zh-CN" w:bidi="ar"/>
        </w:rPr>
        <w:sectPr>
          <w:headerReference r:id="rId3" w:type="default"/>
          <w:footerReference r:id="rId4" w:type="default"/>
          <w:pgSz w:w="11906" w:h="16838"/>
          <w:pgMar w:top="1440" w:right="1800" w:bottom="1440" w:left="1800" w:header="851" w:footer="992" w:gutter="0"/>
          <w:cols w:space="425" w:num="1"/>
          <w:docGrid w:type="lines" w:linePitch="312" w:charSpace="0"/>
        </w:sectPr>
      </w:pPr>
      <w:r>
        <w:rPr>
          <w:rFonts w:hint="eastAsia" w:ascii="仿宋" w:hAnsi="仿宋" w:eastAsia="仿宋" w:cs="仿宋"/>
          <w:b/>
          <w:bCs/>
          <w:color w:val="C00000"/>
          <w:kern w:val="0"/>
          <w:sz w:val="21"/>
          <w:szCs w:val="21"/>
          <w:lang w:val="en-US" w:eastAsia="zh-CN" w:bidi="ar"/>
        </w:rPr>
        <w:t>结合最高院《关于统一法律适用加强类案检索的指导意见》</w:t>
      </w:r>
      <w:r>
        <w:rPr>
          <w:rFonts w:hint="eastAsia" w:ascii="仿宋" w:hAnsi="仿宋" w:eastAsia="仿宋" w:cs="仿宋"/>
          <w:color w:val="C00000"/>
          <w:kern w:val="0"/>
          <w:sz w:val="21"/>
          <w:szCs w:val="21"/>
          <w:lang w:val="en-US" w:eastAsia="zh-CN" w:bidi="ar"/>
        </w:rPr>
        <w:t>，明确所提交类案的效力层级，严格</w:t>
      </w:r>
      <w:r>
        <w:rPr>
          <w:rFonts w:hint="eastAsia" w:ascii="仿宋" w:hAnsi="仿宋" w:eastAsia="仿宋" w:cs="仿宋"/>
          <w:b/>
          <w:bCs/>
          <w:color w:val="C00000"/>
          <w:kern w:val="0"/>
          <w:sz w:val="21"/>
          <w:szCs w:val="21"/>
          <w:lang w:val="en-US" w:eastAsia="zh-CN" w:bidi="ar"/>
        </w:rPr>
        <w:t>区分哪些属于法院应当参照的类案，哪些属于可以参考的类案</w:t>
      </w:r>
      <w:r>
        <w:rPr>
          <w:rFonts w:hint="eastAsia" w:ascii="仿宋" w:hAnsi="仿宋" w:eastAsia="仿宋" w:cs="仿宋"/>
          <w:color w:val="C00000"/>
          <w:kern w:val="0"/>
          <w:sz w:val="21"/>
          <w:szCs w:val="21"/>
          <w:lang w:val="en-US" w:eastAsia="zh-CN" w:bidi="ar"/>
        </w:rPr>
        <w:t>，为合议庭采纳相关裁判规则提供明确的规范依据。</w:t>
      </w:r>
    </w:p>
    <w:p w14:paraId="780A6A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 w:lineRule="atLeast"/>
        <w:ind w:left="0" w:right="0" w:firstLine="0"/>
        <w:jc w:val="center"/>
        <w:rPr>
          <w:rFonts w:ascii="微软雅黑" w:hAnsi="微软雅黑" w:eastAsia="微软雅黑" w:cs="微软雅黑"/>
          <w:i w:val="0"/>
          <w:iCs w:val="0"/>
          <w:caps w:val="0"/>
          <w:color w:val="2F2F2F"/>
          <w:spacing w:val="0"/>
          <w:sz w:val="28"/>
          <w:szCs w:val="28"/>
        </w:rPr>
      </w:pPr>
      <w:r>
        <w:rPr>
          <w:rFonts w:hint="eastAsia" w:ascii="微软雅黑" w:hAnsi="微软雅黑" w:eastAsia="微软雅黑" w:cs="微软雅黑"/>
          <w:i w:val="0"/>
          <w:iCs w:val="0"/>
          <w:caps w:val="0"/>
          <w:color w:val="2F2F2F"/>
          <w:spacing w:val="0"/>
          <w:kern w:val="0"/>
          <w:sz w:val="28"/>
          <w:szCs w:val="28"/>
          <w:bdr w:val="none" w:color="auto" w:sz="0" w:space="0"/>
          <w:lang w:val="en-US" w:eastAsia="zh-CN" w:bidi="ar"/>
        </w:rPr>
        <w:t>高人民法院</w:t>
      </w:r>
      <w:r>
        <w:rPr>
          <w:rFonts w:hint="eastAsia" w:ascii="微软雅黑" w:hAnsi="微软雅黑" w:eastAsia="微软雅黑" w:cs="微软雅黑"/>
          <w:i w:val="0"/>
          <w:iCs w:val="0"/>
          <w:caps w:val="0"/>
          <w:color w:val="2F2F2F"/>
          <w:spacing w:val="0"/>
          <w:kern w:val="0"/>
          <w:sz w:val="28"/>
          <w:szCs w:val="28"/>
          <w:bdr w:val="none" w:color="auto" w:sz="0" w:space="0"/>
          <w:lang w:val="en-US" w:eastAsia="zh-CN" w:bidi="ar"/>
        </w:rPr>
        <w:br w:type="textWrapping"/>
      </w:r>
      <w:r>
        <w:rPr>
          <w:rFonts w:hint="eastAsia" w:ascii="微软雅黑" w:hAnsi="微软雅黑" w:eastAsia="微软雅黑" w:cs="微软雅黑"/>
          <w:i w:val="0"/>
          <w:iCs w:val="0"/>
          <w:caps w:val="0"/>
          <w:color w:val="2F2F2F"/>
          <w:spacing w:val="0"/>
          <w:kern w:val="0"/>
          <w:sz w:val="28"/>
          <w:szCs w:val="28"/>
          <w:bdr w:val="none" w:color="auto" w:sz="0" w:space="0"/>
          <w:lang w:val="en-US" w:eastAsia="zh-CN" w:bidi="ar"/>
        </w:rPr>
        <w:t>关于统一法律适用加强类案检索的指导意见（试行）</w:t>
      </w:r>
    </w:p>
    <w:p w14:paraId="0F58E12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460" w:lineRule="atLeast"/>
        <w:ind w:left="0" w:right="0" w:hanging="360"/>
        <w:rPr>
          <w:rFonts w:hint="eastAsia" w:ascii="仿宋" w:hAnsi="仿宋" w:eastAsia="仿宋" w:cs="仿宋"/>
          <w:sz w:val="21"/>
          <w:szCs w:val="21"/>
        </w:rPr>
      </w:pPr>
      <w:r>
        <w:rPr>
          <w:rFonts w:hint="eastAsia" w:ascii="仿宋" w:hAnsi="仿宋" w:eastAsia="仿宋" w:cs="仿宋"/>
          <w:i w:val="0"/>
          <w:iCs w:val="0"/>
          <w:caps w:val="0"/>
          <w:color w:val="2F2F2F"/>
          <w:spacing w:val="0"/>
          <w:sz w:val="21"/>
          <w:szCs w:val="21"/>
          <w:bdr w:val="none" w:color="auto" w:sz="0" w:space="0"/>
        </w:rPr>
        <w:t>来源：最高人民法院</w:t>
      </w:r>
    </w:p>
    <w:p w14:paraId="2B27E498">
      <w:pPr>
        <w:keepNext w:val="0"/>
        <w:keepLines w:val="0"/>
        <w:widowControl/>
        <w:suppressLineNumbers w:val="0"/>
        <w:pBdr>
          <w:top w:val="none" w:color="auto" w:sz="0" w:space="0"/>
          <w:left w:val="none" w:color="auto" w:sz="0" w:space="0"/>
          <w:bottom w:val="single" w:color="D7D7D7" w:sz="4" w:space="0"/>
          <w:right w:val="none" w:color="auto" w:sz="0" w:space="0"/>
        </w:pBdr>
        <w:spacing w:before="0" w:beforeAutospacing="0" w:after="0" w:afterAutospacing="0" w:line="20" w:lineRule="atLeast"/>
        <w:ind w:left="0" w:right="0" w:firstLine="0"/>
        <w:jc w:val="left"/>
        <w:rPr>
          <w:rFonts w:hint="eastAsia" w:ascii="仿宋" w:hAnsi="仿宋" w:eastAsia="仿宋" w:cs="仿宋"/>
          <w:i w:val="0"/>
          <w:iCs w:val="0"/>
          <w:caps w:val="0"/>
          <w:color w:val="2F2F2F"/>
          <w:spacing w:val="0"/>
          <w:sz w:val="21"/>
          <w:szCs w:val="21"/>
        </w:rPr>
      </w:pPr>
      <w:r>
        <w:rPr>
          <w:rFonts w:hint="eastAsia" w:ascii="仿宋" w:hAnsi="仿宋" w:eastAsia="仿宋" w:cs="仿宋"/>
          <w:i w:val="0"/>
          <w:iCs w:val="0"/>
          <w:caps w:val="0"/>
          <w:color w:val="2F2F2F"/>
          <w:spacing w:val="0"/>
          <w:kern w:val="0"/>
          <w:sz w:val="21"/>
          <w:szCs w:val="21"/>
          <w:bdr w:val="none" w:color="auto" w:sz="0" w:space="0"/>
          <w:lang w:val="en-US" w:eastAsia="zh-CN" w:bidi="ar"/>
        </w:rPr>
        <w:t>       为统一法律适用，提升司法公信力，结合审判工作实际，就人民法院类案检索工作提出如下意见。</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一、本意见所称类案，是指与待决案件在基本事实、争议焦点、法律适用问题等方面具有相似性，且已经人民法院裁判生效的案件。</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二、人民法院办理案件具有下列情形之一，应当进行类案检索：</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（一）拟提交专业（主审）法官会议或者审判委员会讨论的；</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（二）缺乏明确裁判规则或者尚未形成统一裁判规则的；</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（三）院长、庭长根据审判监督管理权限要求进行类案检索的；</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（四）其他需要进行类案检索的。</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三、承办法官依托中国裁判文书网、审判案例数据库等进行类案检索，并对检索的真实性、准确性负责。</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四、类案检索范围一般包括：</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（一）最高人民法院发布的指导性案例；</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（二）最高人民法院发布的典型案例及裁判生效的案件；</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（三）本省（自治区、直辖市）高级人民法院发布的参考性案例及裁判生效的案件；</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（四）上一级人民法院及本院裁判生效的案件。</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w:t>
      </w:r>
      <w:r>
        <w:rPr>
          <w:rFonts w:hint="eastAsia" w:ascii="仿宋" w:hAnsi="仿宋" w:eastAsia="仿宋" w:cs="仿宋"/>
          <w:i w:val="0"/>
          <w:iCs w:val="0"/>
          <w:caps w:val="0"/>
          <w:color w:val="C00000"/>
          <w:spacing w:val="0"/>
          <w:kern w:val="0"/>
          <w:sz w:val="21"/>
          <w:szCs w:val="21"/>
          <w:bdr w:val="none" w:color="auto" w:sz="0" w:space="0"/>
          <w:lang w:val="en-US" w:eastAsia="zh-CN" w:bidi="ar"/>
        </w:rPr>
        <w:t>除指导性案例以外，优先检索近三年的案例或者案件</w:t>
      </w:r>
      <w:r>
        <w:rPr>
          <w:rFonts w:hint="eastAsia" w:ascii="仿宋" w:hAnsi="仿宋" w:eastAsia="仿宋" w:cs="仿宋"/>
          <w:i w:val="0"/>
          <w:iCs w:val="0"/>
          <w:caps w:val="0"/>
          <w:color w:val="2F2F2F"/>
          <w:spacing w:val="0"/>
          <w:kern w:val="0"/>
          <w:sz w:val="21"/>
          <w:szCs w:val="21"/>
          <w:bdr w:val="none" w:color="auto" w:sz="0" w:space="0"/>
          <w:lang w:val="en-US" w:eastAsia="zh-CN" w:bidi="ar"/>
        </w:rPr>
        <w:t>；已经在前一顺位中检索到类案的，可以不再进行检索。</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五、</w:t>
      </w:r>
      <w:r>
        <w:rPr>
          <w:rFonts w:hint="eastAsia" w:ascii="仿宋" w:hAnsi="仿宋" w:eastAsia="仿宋" w:cs="仿宋"/>
          <w:i w:val="0"/>
          <w:iCs w:val="0"/>
          <w:caps w:val="0"/>
          <w:color w:val="C00000"/>
          <w:spacing w:val="0"/>
          <w:kern w:val="0"/>
          <w:sz w:val="21"/>
          <w:szCs w:val="21"/>
          <w:lang w:val="en-US" w:eastAsia="zh-CN" w:bidi="ar"/>
        </w:rPr>
        <w:t>类案检索可以采用关键词检索、法条关联案件检索、案例关联检索等方法。</w:t>
      </w:r>
      <w:r>
        <w:rPr>
          <w:rFonts w:hint="eastAsia" w:ascii="仿宋" w:hAnsi="仿宋" w:eastAsia="仿宋" w:cs="仿宋"/>
          <w:i w:val="0"/>
          <w:iCs w:val="0"/>
          <w:caps w:val="0"/>
          <w:color w:val="C00000"/>
          <w:spacing w:val="0"/>
          <w:kern w:val="0"/>
          <w:sz w:val="21"/>
          <w:szCs w:val="21"/>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六、承办法官应当将待决案件</w:t>
      </w:r>
      <w:r>
        <w:rPr>
          <w:rFonts w:hint="eastAsia" w:ascii="仿宋" w:hAnsi="仿宋" w:eastAsia="仿宋" w:cs="仿宋"/>
          <w:i w:val="0"/>
          <w:iCs w:val="0"/>
          <w:caps w:val="0"/>
          <w:color w:val="C00000"/>
          <w:spacing w:val="0"/>
          <w:kern w:val="0"/>
          <w:sz w:val="21"/>
          <w:szCs w:val="21"/>
          <w:lang w:val="en-US" w:eastAsia="zh-CN" w:bidi="ar"/>
        </w:rPr>
        <w:t>与检索结果进行相似性识别和比对，确定是否属于类案。</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七、对本意见规定的应当进行类案检索的案件，承办法官应当在合议庭评议、专业（主审）法官会议讨论及审理报告中对类案检索情况予以说明，或者制作专门的类案检索报告，并随案归档备查。</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八、</w:t>
      </w:r>
      <w:r>
        <w:rPr>
          <w:rFonts w:hint="eastAsia" w:ascii="仿宋" w:hAnsi="仿宋" w:eastAsia="仿宋" w:cs="仿宋"/>
          <w:i w:val="0"/>
          <w:iCs w:val="0"/>
          <w:caps w:val="0"/>
          <w:color w:val="C00000"/>
          <w:spacing w:val="0"/>
          <w:kern w:val="0"/>
          <w:sz w:val="21"/>
          <w:szCs w:val="21"/>
          <w:lang w:val="en-US" w:eastAsia="zh-CN" w:bidi="ar"/>
        </w:rPr>
        <w:t>类案检索说明或者报告应当客观、全面、准确，包括检索主体、时间、平台、方法、结果，类案裁判要点以及待决案件争议焦点等内容，并对是否参照或者参考类案等结果运用情况予以分析说明。</w:t>
      </w:r>
      <w:r>
        <w:rPr>
          <w:rFonts w:hint="eastAsia" w:ascii="仿宋" w:hAnsi="仿宋" w:eastAsia="仿宋" w:cs="仿宋"/>
          <w:i w:val="0"/>
          <w:iCs w:val="0"/>
          <w:caps w:val="0"/>
          <w:color w:val="C00000"/>
          <w:spacing w:val="0"/>
          <w:kern w:val="0"/>
          <w:sz w:val="21"/>
          <w:szCs w:val="21"/>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九、检索到的类案为指导性案例的，人民法院应当参照作出裁判，但与新的法律、行政法规、司法解释相冲突或者为新的指导性案例所取代的除外。</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检索到其他类案的，人民法院可以作为作出裁判的参考。</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十、公诉机关、案件当事人及其辩护人、诉讼代理人等提交指导性案例作为控（诉）辩理由的，人民法院应当在裁判文书说理中回应是否参照并说明理由；提交其他类案作为控（诉）辩理由的，人民法院可以通过释明等方式予以回应。</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十一、检索到的类案存在法律适用不一致的，人民法院可以综合法院层级、裁判时间、是否经审判委员会讨论等因素，依照《最高人民法院关于建立法律适用分歧解决机制的实施办法》等规定，通过法律适用分歧解决机制予以解决。</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十二、各级人民法院应当积极推进类案检索工作，加强技术研发和应用培训，提升类案推送的智能化、精准化水平。</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各高级人民法院应当充分运用现代信息技术，建立审判案例数据库，为全国统一、权威的审判案例数据库建设奠定坚实基础。</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十三、各级人民法院应当定期归纳整理类案检索情况，通过一定形式在本院或者辖区法院公开，供法官办案参考，并报上一级人民法院审判管理部门备案。</w:t>
      </w:r>
      <w:r>
        <w:rPr>
          <w:rFonts w:hint="eastAsia" w:ascii="仿宋" w:hAnsi="仿宋" w:eastAsia="仿宋" w:cs="仿宋"/>
          <w:i w:val="0"/>
          <w:iCs w:val="0"/>
          <w:caps w:val="0"/>
          <w:color w:val="2F2F2F"/>
          <w:spacing w:val="0"/>
          <w:kern w:val="0"/>
          <w:sz w:val="21"/>
          <w:szCs w:val="21"/>
          <w:bdr w:val="none" w:color="auto" w:sz="0" w:space="0"/>
          <w:lang w:val="en-US" w:eastAsia="zh-CN" w:bidi="ar"/>
        </w:rPr>
        <w:br w:type="textWrapping"/>
      </w:r>
      <w:r>
        <w:rPr>
          <w:rFonts w:hint="eastAsia" w:ascii="仿宋" w:hAnsi="仿宋" w:eastAsia="仿宋" w:cs="仿宋"/>
          <w:i w:val="0"/>
          <w:iCs w:val="0"/>
          <w:caps w:val="0"/>
          <w:color w:val="2F2F2F"/>
          <w:spacing w:val="0"/>
          <w:kern w:val="0"/>
          <w:sz w:val="21"/>
          <w:szCs w:val="21"/>
          <w:bdr w:val="none" w:color="auto" w:sz="0" w:space="0"/>
          <w:lang w:val="en-US" w:eastAsia="zh-CN" w:bidi="ar"/>
        </w:rPr>
        <w:t>　　十四、本意见自2020年7月31日起试行。</w:t>
      </w:r>
    </w:p>
    <w:p w14:paraId="18AB3DC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20" w:firstLineChars="200"/>
        <w:jc w:val="left"/>
        <w:rPr>
          <w:rFonts w:hint="default" w:ascii="仿宋" w:hAnsi="仿宋" w:eastAsia="仿宋" w:cs="仿宋"/>
          <w:color w:val="C00000"/>
          <w:kern w:val="0"/>
          <w:sz w:val="21"/>
          <w:szCs w:val="21"/>
          <w:lang w:val="en-US" w:eastAsia="zh-CN" w:bidi="ar"/>
        </w:rPr>
        <w:sectPr>
          <w:pgSz w:w="11906" w:h="16838"/>
          <w:pgMar w:top="1440" w:right="1800" w:bottom="1440" w:left="1800" w:header="851" w:footer="992" w:gutter="0"/>
          <w:cols w:space="425" w:num="1"/>
          <w:docGrid w:type="lines" w:linePitch="312" w:charSpace="0"/>
        </w:sectPr>
      </w:pPr>
    </w:p>
    <w:p w14:paraId="46179855">
      <w:pPr>
        <w:spacing w:line="276" w:lineRule="auto"/>
        <w:jc w:val="center"/>
        <w:rPr>
          <w:rFonts w:ascii="仿宋" w:hAnsi="仿宋" w:eastAsia="仿宋"/>
          <w:b/>
          <w:color w:val="auto"/>
          <w:sz w:val="48"/>
          <w:szCs w:val="36"/>
        </w:rPr>
      </w:pPr>
    </w:p>
    <w:p w14:paraId="24449504">
      <w:pPr>
        <w:adjustRightInd w:val="0"/>
        <w:snapToGrid w:val="0"/>
        <w:spacing w:line="360" w:lineRule="auto"/>
        <w:jc w:val="center"/>
        <w:rPr>
          <w:rFonts w:ascii="仿宋" w:hAnsi="仿宋" w:eastAsia="仿宋"/>
          <w:b/>
          <w:color w:val="auto"/>
          <w:sz w:val="32"/>
          <w:szCs w:val="32"/>
        </w:rPr>
      </w:pPr>
      <w:r>
        <w:rPr>
          <w:rFonts w:hint="eastAsia" w:ascii="仿宋" w:hAnsi="仿宋" w:eastAsia="仿宋"/>
          <w:b/>
          <w:color w:val="4A66AC" w:themeColor="accent1"/>
          <w:sz w:val="32"/>
          <w:szCs w:val="32"/>
          <w:lang w:eastAsia="zh-CN"/>
          <w14:textFill>
            <w14:solidFill>
              <w14:schemeClr w14:val="accent1"/>
            </w14:solidFill>
          </w14:textFill>
        </w:rPr>
        <w:t>【</w:t>
      </w:r>
      <w:r>
        <w:rPr>
          <w:rFonts w:hint="eastAsia" w:ascii="仿宋" w:hAnsi="仿宋" w:eastAsia="仿宋"/>
          <w:b/>
          <w:color w:val="4A66AC" w:themeColor="accent1"/>
          <w:sz w:val="32"/>
          <w:szCs w:val="32"/>
          <w:lang w:val="en-US" w:eastAsia="zh-CN"/>
          <w14:textFill>
            <w14:solidFill>
              <w14:schemeClr w14:val="accent1"/>
            </w14:solidFill>
          </w14:textFill>
        </w:rPr>
        <w:t>案由</w:t>
      </w:r>
      <w:r>
        <w:rPr>
          <w:rFonts w:hint="eastAsia" w:ascii="仿宋" w:hAnsi="仿宋" w:eastAsia="仿宋"/>
          <w:b/>
          <w:color w:val="4A66AC" w:themeColor="accent1"/>
          <w:sz w:val="32"/>
          <w:szCs w:val="32"/>
          <w:lang w:eastAsia="zh-CN"/>
          <w14:textFill>
            <w14:solidFill>
              <w14:schemeClr w14:val="accent1"/>
            </w14:solidFill>
          </w14:textFill>
        </w:rPr>
        <w:t>】</w:t>
      </w:r>
      <w:r>
        <w:rPr>
          <w:rFonts w:hint="eastAsia" w:ascii="仿宋" w:hAnsi="仿宋" w:eastAsia="仿宋"/>
          <w:b/>
          <w:color w:val="auto"/>
          <w:sz w:val="32"/>
          <w:szCs w:val="32"/>
          <w:lang w:val="en-US" w:eastAsia="zh-CN"/>
        </w:rPr>
        <w:t>XXX</w:t>
      </w:r>
      <w:r>
        <w:rPr>
          <w:rFonts w:ascii="仿宋" w:hAnsi="仿宋" w:eastAsia="仿宋"/>
          <w:b/>
          <w:color w:val="auto"/>
          <w:sz w:val="32"/>
          <w:szCs w:val="32"/>
        </w:rPr>
        <w:t>纠纷</w:t>
      </w:r>
    </w:p>
    <w:p w14:paraId="06BEE5D5">
      <w:pPr>
        <w:spacing w:line="720" w:lineRule="auto"/>
        <w:jc w:val="center"/>
        <w:rPr>
          <w:rFonts w:ascii="仿宋" w:hAnsi="仿宋" w:eastAsia="仿宋"/>
          <w:b/>
          <w:color w:val="auto"/>
          <w:sz w:val="72"/>
          <w:szCs w:val="72"/>
        </w:rPr>
      </w:pPr>
    </w:p>
    <w:p w14:paraId="687D16C9">
      <w:pPr>
        <w:spacing w:line="720" w:lineRule="auto"/>
        <w:jc w:val="center"/>
        <w:rPr>
          <w:rFonts w:ascii="仿宋" w:hAnsi="仿宋" w:eastAsia="仿宋"/>
          <w:b/>
          <w:color w:val="auto"/>
          <w:sz w:val="72"/>
          <w:szCs w:val="72"/>
        </w:rPr>
      </w:pPr>
    </w:p>
    <w:p w14:paraId="4B2FAFD7">
      <w:pPr>
        <w:spacing w:line="720" w:lineRule="auto"/>
        <w:jc w:val="center"/>
        <w:rPr>
          <w:rFonts w:ascii="仿宋" w:hAnsi="仿宋" w:eastAsia="仿宋"/>
          <w:b/>
          <w:color w:val="auto"/>
          <w:sz w:val="72"/>
          <w:szCs w:val="72"/>
        </w:rPr>
      </w:pPr>
    </w:p>
    <w:p w14:paraId="2F7DC47E">
      <w:pPr>
        <w:spacing w:line="720" w:lineRule="auto"/>
        <w:jc w:val="center"/>
        <w:rPr>
          <w:rFonts w:ascii="仿宋" w:hAnsi="仿宋" w:eastAsia="仿宋"/>
          <w:b/>
          <w:color w:val="auto"/>
          <w:sz w:val="44"/>
          <w:szCs w:val="44"/>
        </w:rPr>
      </w:pPr>
      <w:r>
        <w:rPr>
          <w:rFonts w:hint="eastAsia" w:ascii="仿宋" w:hAnsi="仿宋" w:eastAsia="仿宋"/>
          <w:b/>
          <w:color w:val="4A66AC" w:themeColor="accent1"/>
          <w:sz w:val="44"/>
          <w:szCs w:val="44"/>
          <w:lang w:eastAsia="zh-CN"/>
          <w14:textFill>
            <w14:solidFill>
              <w14:schemeClr w14:val="accent1"/>
            </w14:solidFill>
          </w14:textFill>
        </w:rPr>
        <w:t>【</w:t>
      </w:r>
      <w:r>
        <w:rPr>
          <w:rFonts w:hint="eastAsia" w:ascii="仿宋" w:hAnsi="仿宋" w:eastAsia="仿宋"/>
          <w:b/>
          <w:color w:val="4A66AC" w:themeColor="accent1"/>
          <w:sz w:val="44"/>
          <w:szCs w:val="44"/>
          <w:lang w:val="en-US" w:eastAsia="zh-CN"/>
          <w14:textFill>
            <w14:solidFill>
              <w14:schemeClr w14:val="accent1"/>
            </w14:solidFill>
          </w14:textFill>
        </w:rPr>
        <w:t>标题</w:t>
      </w:r>
      <w:r>
        <w:rPr>
          <w:rFonts w:hint="eastAsia" w:ascii="仿宋" w:hAnsi="仿宋" w:eastAsia="仿宋"/>
          <w:b/>
          <w:color w:val="4A66AC" w:themeColor="accent1"/>
          <w:sz w:val="44"/>
          <w:szCs w:val="44"/>
          <w:lang w:eastAsia="zh-CN"/>
          <w14:textFill>
            <w14:solidFill>
              <w14:schemeClr w14:val="accent1"/>
            </w14:solidFill>
          </w14:textFill>
        </w:rPr>
        <w:t>】</w:t>
      </w:r>
      <w:r>
        <w:rPr>
          <w:rFonts w:hint="eastAsia" w:ascii="仿宋" w:hAnsi="仿宋" w:eastAsia="仿宋"/>
          <w:b/>
          <w:color w:val="auto"/>
          <w:sz w:val="44"/>
          <w:szCs w:val="44"/>
        </w:rPr>
        <w:t>案涉争议问题检索报告</w:t>
      </w:r>
    </w:p>
    <w:p w14:paraId="4F014E5B">
      <w:pPr>
        <w:spacing w:line="360" w:lineRule="auto"/>
        <w:rPr>
          <w:rFonts w:ascii="仿宋" w:hAnsi="仿宋" w:eastAsia="仿宋"/>
          <w:b/>
          <w:color w:val="auto"/>
          <w:sz w:val="32"/>
          <w:szCs w:val="32"/>
        </w:rPr>
      </w:pPr>
    </w:p>
    <w:p w14:paraId="72555C7F">
      <w:pPr>
        <w:spacing w:line="360" w:lineRule="auto"/>
        <w:rPr>
          <w:rFonts w:ascii="仿宋" w:hAnsi="仿宋" w:eastAsia="仿宋"/>
          <w:b/>
          <w:color w:val="auto"/>
          <w:sz w:val="32"/>
          <w:szCs w:val="32"/>
        </w:rPr>
      </w:pPr>
    </w:p>
    <w:p w14:paraId="3CE4DBDE">
      <w:pPr>
        <w:spacing w:line="360" w:lineRule="auto"/>
        <w:rPr>
          <w:rFonts w:ascii="仿宋" w:hAnsi="仿宋" w:eastAsia="仿宋"/>
          <w:b/>
          <w:color w:val="auto"/>
          <w:sz w:val="32"/>
          <w:szCs w:val="32"/>
        </w:rPr>
      </w:pPr>
    </w:p>
    <w:p w14:paraId="56F8175E">
      <w:pPr>
        <w:spacing w:line="360" w:lineRule="auto"/>
        <w:rPr>
          <w:rFonts w:ascii="仿宋" w:hAnsi="仿宋" w:eastAsia="仿宋"/>
          <w:b/>
          <w:color w:val="auto"/>
          <w:sz w:val="32"/>
          <w:szCs w:val="32"/>
        </w:rPr>
      </w:pPr>
    </w:p>
    <w:p w14:paraId="219CC186">
      <w:pPr>
        <w:adjustRightInd w:val="0"/>
        <w:snapToGrid w:val="0"/>
        <w:spacing w:before="100" w:beforeAutospacing="1" w:after="100" w:afterAutospacing="1"/>
        <w:jc w:val="center"/>
        <w:rPr>
          <w:rFonts w:hint="default" w:ascii="仿宋" w:hAnsi="仿宋" w:eastAsia="仿宋"/>
          <w:b/>
          <w:color w:val="auto"/>
          <w:sz w:val="28"/>
          <w:szCs w:val="32"/>
          <w:lang w:val="en-US" w:eastAsia="zh-CN"/>
        </w:rPr>
      </w:pPr>
      <w:r>
        <w:rPr>
          <w:rFonts w:hint="eastAsia" w:ascii="仿宋" w:hAnsi="仿宋" w:eastAsia="仿宋"/>
          <w:b/>
          <w:color w:val="4A66AC" w:themeColor="accent1"/>
          <w:sz w:val="28"/>
          <w:szCs w:val="32"/>
          <w:lang w:eastAsia="zh-CN"/>
          <w14:textFill>
            <w14:solidFill>
              <w14:schemeClr w14:val="accent1"/>
            </w14:solidFill>
          </w14:textFill>
        </w:rPr>
        <w:t>【</w:t>
      </w:r>
      <w:r>
        <w:rPr>
          <w:rFonts w:hint="eastAsia" w:ascii="仿宋" w:hAnsi="仿宋" w:eastAsia="仿宋"/>
          <w:b/>
          <w:color w:val="4A66AC" w:themeColor="accent1"/>
          <w:sz w:val="28"/>
          <w:szCs w:val="32"/>
          <w:lang w:val="en-US" w:eastAsia="zh-CN"/>
          <w14:textFill>
            <w14:solidFill>
              <w14:schemeClr w14:val="accent1"/>
            </w14:solidFill>
          </w14:textFill>
        </w:rPr>
        <w:t>署名</w:t>
      </w:r>
      <w:r>
        <w:rPr>
          <w:rFonts w:hint="eastAsia" w:ascii="仿宋" w:hAnsi="仿宋" w:eastAsia="仿宋"/>
          <w:b/>
          <w:color w:val="4A66AC" w:themeColor="accent1"/>
          <w:sz w:val="28"/>
          <w:szCs w:val="32"/>
          <w:lang w:eastAsia="zh-CN"/>
          <w14:textFill>
            <w14:solidFill>
              <w14:schemeClr w14:val="accent1"/>
            </w14:solidFill>
          </w14:textFill>
        </w:rPr>
        <w:t>】</w:t>
      </w:r>
      <w:r>
        <w:rPr>
          <w:rFonts w:hint="eastAsia" w:ascii="仿宋" w:hAnsi="仿宋" w:eastAsia="仿宋"/>
          <w:b/>
          <w:color w:val="auto"/>
          <w:sz w:val="28"/>
          <w:szCs w:val="32"/>
        </w:rPr>
        <w:t>提交人</w:t>
      </w:r>
      <w:r>
        <w:rPr>
          <w:rFonts w:ascii="仿宋" w:hAnsi="仿宋" w:eastAsia="仿宋"/>
          <w:b/>
          <w:color w:val="auto"/>
          <w:sz w:val="28"/>
          <w:szCs w:val="32"/>
        </w:rPr>
        <w:t>：</w:t>
      </w:r>
      <w:r>
        <w:rPr>
          <w:rFonts w:hint="eastAsia" w:ascii="仿宋" w:hAnsi="仿宋" w:eastAsia="仿宋"/>
          <w:b/>
          <w:color w:val="auto"/>
          <w:sz w:val="28"/>
          <w:szCs w:val="32"/>
          <w:lang w:val="en-US" w:eastAsia="zh-CN"/>
        </w:rPr>
        <w:t>XXXXXX</w:t>
      </w:r>
    </w:p>
    <w:p w14:paraId="42FFD52B">
      <w:pPr>
        <w:spacing w:before="312" w:beforeLines="100" w:after="156" w:afterLines="50" w:line="440" w:lineRule="exact"/>
        <w:jc w:val="center"/>
        <w:rPr>
          <w:rFonts w:ascii="仿宋" w:hAnsi="仿宋" w:eastAsia="仿宋"/>
          <w:b/>
          <w:color w:val="auto"/>
          <w:sz w:val="28"/>
          <w:szCs w:val="32"/>
        </w:rPr>
      </w:pPr>
    </w:p>
    <w:p w14:paraId="19AD1AEB">
      <w:pPr>
        <w:spacing w:before="312" w:beforeLines="100" w:after="156" w:afterLines="50" w:line="440" w:lineRule="exact"/>
        <w:jc w:val="center"/>
        <w:rPr>
          <w:rFonts w:ascii="仿宋" w:hAnsi="仿宋" w:eastAsia="仿宋"/>
          <w:b/>
          <w:color w:val="auto"/>
          <w:sz w:val="28"/>
          <w:szCs w:val="32"/>
        </w:rPr>
      </w:pPr>
      <w:r>
        <w:rPr>
          <w:rFonts w:hint="eastAsia" w:ascii="仿宋" w:hAnsi="仿宋" w:eastAsia="仿宋"/>
          <w:b/>
          <w:color w:val="4A66AC" w:themeColor="accent1"/>
          <w:sz w:val="28"/>
          <w:szCs w:val="32"/>
          <w:lang w:eastAsia="zh-CN"/>
          <w14:textFill>
            <w14:solidFill>
              <w14:schemeClr w14:val="accent1"/>
            </w14:solidFill>
          </w14:textFill>
        </w:rPr>
        <w:t>【</w:t>
      </w:r>
      <w:r>
        <w:rPr>
          <w:rFonts w:hint="eastAsia" w:ascii="仿宋" w:hAnsi="仿宋" w:eastAsia="仿宋"/>
          <w:b/>
          <w:color w:val="4A66AC" w:themeColor="accent1"/>
          <w:sz w:val="28"/>
          <w:szCs w:val="32"/>
          <w:lang w:val="en-US" w:eastAsia="zh-CN"/>
          <w14:textFill>
            <w14:solidFill>
              <w14:schemeClr w14:val="accent1"/>
            </w14:solidFill>
          </w14:textFill>
        </w:rPr>
        <w:t>日期</w:t>
      </w:r>
      <w:r>
        <w:rPr>
          <w:rFonts w:hint="eastAsia" w:ascii="仿宋" w:hAnsi="仿宋" w:eastAsia="仿宋"/>
          <w:b/>
          <w:color w:val="4A66AC" w:themeColor="accent1"/>
          <w:sz w:val="28"/>
          <w:szCs w:val="32"/>
          <w:lang w:eastAsia="zh-CN"/>
          <w14:textFill>
            <w14:solidFill>
              <w14:schemeClr w14:val="accent1"/>
            </w14:solidFill>
          </w14:textFill>
        </w:rPr>
        <w:t>】</w:t>
      </w:r>
      <w:r>
        <w:rPr>
          <w:rFonts w:hint="eastAsia" w:ascii="仿宋" w:hAnsi="仿宋" w:eastAsia="仿宋"/>
          <w:b/>
          <w:color w:val="auto"/>
          <w:sz w:val="28"/>
          <w:szCs w:val="32"/>
        </w:rPr>
        <w:t>2</w:t>
      </w:r>
      <w:r>
        <w:rPr>
          <w:rFonts w:ascii="仿宋" w:hAnsi="仿宋" w:eastAsia="仿宋"/>
          <w:b/>
          <w:color w:val="auto"/>
          <w:sz w:val="28"/>
          <w:szCs w:val="32"/>
        </w:rPr>
        <w:t>022</w:t>
      </w:r>
      <w:r>
        <w:rPr>
          <w:rFonts w:hint="eastAsia" w:ascii="仿宋" w:hAnsi="仿宋" w:eastAsia="仿宋"/>
          <w:b/>
          <w:color w:val="auto"/>
          <w:sz w:val="28"/>
          <w:szCs w:val="32"/>
        </w:rPr>
        <w:t>年</w:t>
      </w:r>
      <w:r>
        <w:rPr>
          <w:rFonts w:ascii="仿宋" w:hAnsi="仿宋" w:eastAsia="仿宋"/>
          <w:b/>
          <w:color w:val="auto"/>
          <w:sz w:val="28"/>
          <w:szCs w:val="32"/>
        </w:rPr>
        <w:t>2</w:t>
      </w:r>
      <w:r>
        <w:rPr>
          <w:rFonts w:hint="eastAsia" w:ascii="仿宋" w:hAnsi="仿宋" w:eastAsia="仿宋"/>
          <w:b/>
          <w:color w:val="auto"/>
          <w:sz w:val="28"/>
          <w:szCs w:val="32"/>
        </w:rPr>
        <w:t>月</w:t>
      </w:r>
    </w:p>
    <w:p w14:paraId="7A7C59F4">
      <w:pPr>
        <w:spacing w:before="312" w:beforeLines="100" w:after="156" w:afterLines="50" w:line="440" w:lineRule="exact"/>
        <w:jc w:val="center"/>
        <w:rPr>
          <w:rFonts w:ascii="仿宋" w:hAnsi="仿宋" w:eastAsia="仿宋"/>
          <w:b/>
          <w:color w:val="auto"/>
          <w:sz w:val="28"/>
          <w:szCs w:val="32"/>
        </w:rPr>
      </w:pPr>
    </w:p>
    <w:p w14:paraId="1D323C38">
      <w:pPr>
        <w:spacing w:before="312" w:beforeLines="100" w:after="156" w:afterLines="50" w:line="440" w:lineRule="exact"/>
        <w:jc w:val="center"/>
        <w:rPr>
          <w:rFonts w:ascii="仿宋" w:hAnsi="仿宋" w:eastAsia="仿宋"/>
          <w:b/>
          <w:color w:val="auto"/>
          <w:sz w:val="28"/>
          <w:szCs w:val="32"/>
        </w:rPr>
      </w:pPr>
    </w:p>
    <w:p w14:paraId="08FBAB3F">
      <w:pPr>
        <w:spacing w:before="312" w:beforeLines="100" w:after="156" w:afterLines="50" w:line="440" w:lineRule="exact"/>
        <w:jc w:val="center"/>
        <w:rPr>
          <w:rFonts w:ascii="仿宋" w:hAnsi="仿宋" w:eastAsia="仿宋"/>
          <w:b/>
          <w:color w:val="auto"/>
          <w:sz w:val="28"/>
          <w:szCs w:val="32"/>
        </w:rPr>
      </w:pPr>
    </w:p>
    <w:p w14:paraId="39FBBBE0">
      <w:pPr>
        <w:spacing w:before="312" w:beforeLines="100" w:after="156" w:afterLines="50" w:line="440" w:lineRule="exact"/>
        <w:jc w:val="center"/>
        <w:rPr>
          <w:rFonts w:ascii="仿宋" w:hAnsi="仿宋" w:eastAsia="仿宋"/>
          <w:b/>
          <w:color w:val="auto"/>
          <w:sz w:val="30"/>
          <w:szCs w:val="30"/>
        </w:rPr>
      </w:pPr>
    </w:p>
    <w:p w14:paraId="6FE86051">
      <w:pPr>
        <w:spacing w:before="312" w:beforeLines="100" w:after="156" w:afterLines="50" w:line="440" w:lineRule="exact"/>
        <w:jc w:val="center"/>
        <w:rPr>
          <w:rFonts w:ascii="仿宋" w:hAnsi="仿宋" w:eastAsia="仿宋"/>
          <w:b/>
          <w:color w:val="auto"/>
          <w:sz w:val="30"/>
          <w:szCs w:val="30"/>
        </w:rPr>
      </w:pPr>
    </w:p>
    <w:p w14:paraId="32372F16">
      <w:pPr>
        <w:spacing w:before="312" w:beforeLines="100" w:after="156" w:afterLines="50" w:line="440" w:lineRule="exact"/>
        <w:jc w:val="center"/>
        <w:rPr>
          <w:rFonts w:ascii="仿宋" w:hAnsi="仿宋" w:eastAsia="仿宋"/>
          <w:b/>
          <w:color w:val="auto"/>
          <w:sz w:val="30"/>
          <w:szCs w:val="30"/>
        </w:rPr>
      </w:pPr>
      <w:r>
        <w:rPr>
          <w:rFonts w:hint="eastAsia" w:ascii="仿宋" w:hAnsi="仿宋" w:eastAsia="仿宋"/>
          <w:b/>
          <w:color w:val="auto"/>
          <w:sz w:val="30"/>
          <w:szCs w:val="30"/>
        </w:rPr>
        <w:t>目 录</w:t>
      </w:r>
    </w:p>
    <w:p w14:paraId="20AB8537">
      <w:pPr>
        <w:spacing w:before="312" w:beforeLines="100" w:after="156" w:afterLines="50" w:line="440" w:lineRule="exact"/>
        <w:jc w:val="center"/>
        <w:rPr>
          <w:rFonts w:ascii="仿宋" w:hAnsi="仿宋" w:eastAsia="仿宋"/>
          <w:b/>
          <w:color w:val="auto"/>
          <w:sz w:val="30"/>
          <w:szCs w:val="30"/>
        </w:rPr>
      </w:pPr>
    </w:p>
    <w:p w14:paraId="5BC73DF6">
      <w:pPr>
        <w:adjustRightInd w:val="0"/>
        <w:snapToGrid w:val="0"/>
        <w:spacing w:before="100" w:beforeAutospacing="1" w:after="100" w:afterAutospacing="1" w:line="440" w:lineRule="exact"/>
        <w:rPr>
          <w:rFonts w:ascii="仿宋" w:hAnsi="仿宋" w:eastAsia="仿宋"/>
          <w:bCs/>
          <w:color w:val="auto"/>
          <w:sz w:val="24"/>
          <w:szCs w:val="24"/>
        </w:rPr>
      </w:pPr>
      <w:r>
        <w:rPr>
          <w:rStyle w:val="35"/>
          <w:rFonts w:hint="eastAsia"/>
          <w:color w:val="auto"/>
        </w:rPr>
        <w:t>案涉人工费问题法律检索报告</w:t>
      </w:r>
      <w:r>
        <w:rPr>
          <w:rFonts w:hint="eastAsia" w:ascii="仿宋" w:hAnsi="仿宋" w:eastAsia="仿宋"/>
          <w:bCs/>
          <w:color w:val="auto"/>
          <w:sz w:val="24"/>
          <w:szCs w:val="24"/>
        </w:rPr>
        <w:t xml:space="preserve"> </w:t>
      </w:r>
      <w:r>
        <w:rPr>
          <w:rFonts w:ascii="仿宋" w:hAnsi="仿宋" w:eastAsia="仿宋"/>
          <w:bCs/>
          <w:color w:val="auto"/>
          <w:sz w:val="24"/>
          <w:szCs w:val="24"/>
        </w:rPr>
        <w:t>………………………………………</w:t>
      </w:r>
      <w:r>
        <w:rPr>
          <w:rFonts w:hint="eastAsia" w:ascii="仿宋" w:hAnsi="仿宋" w:eastAsia="仿宋"/>
          <w:bCs/>
          <w:color w:val="auto"/>
          <w:sz w:val="24"/>
          <w:szCs w:val="24"/>
        </w:rPr>
        <w:t>… 1-</w:t>
      </w:r>
      <w:r>
        <w:rPr>
          <w:rFonts w:ascii="仿宋" w:hAnsi="仿宋" w:eastAsia="仿宋"/>
          <w:bCs/>
          <w:color w:val="auto"/>
          <w:sz w:val="24"/>
          <w:szCs w:val="24"/>
        </w:rPr>
        <w:t>10</w:t>
      </w:r>
      <w:r>
        <w:rPr>
          <w:rFonts w:hint="eastAsia" w:ascii="仿宋" w:hAnsi="仿宋" w:eastAsia="仿宋"/>
          <w:bCs/>
          <w:color w:val="auto"/>
          <w:sz w:val="24"/>
          <w:szCs w:val="24"/>
        </w:rPr>
        <w:t>页</w:t>
      </w:r>
    </w:p>
    <w:p w14:paraId="2B0D8FAD">
      <w:pPr>
        <w:adjustRightInd w:val="0"/>
        <w:snapToGrid w:val="0"/>
        <w:spacing w:before="100" w:beforeAutospacing="1" w:after="100" w:afterAutospacing="1" w:line="440" w:lineRule="exact"/>
        <w:rPr>
          <w:rFonts w:ascii="仿宋" w:hAnsi="仿宋" w:eastAsia="仿宋"/>
          <w:b/>
          <w:color w:val="auto"/>
          <w:sz w:val="24"/>
          <w:szCs w:val="24"/>
        </w:rPr>
      </w:pPr>
      <w:r>
        <w:rPr>
          <w:rFonts w:hint="eastAsia" w:ascii="仿宋" w:hAnsi="仿宋" w:eastAsia="仿宋"/>
          <w:b/>
          <w:color w:val="auto"/>
          <w:sz w:val="24"/>
          <w:szCs w:val="24"/>
        </w:rPr>
        <w:t>参考案例：</w:t>
      </w:r>
    </w:p>
    <w:p w14:paraId="5D09FDF0">
      <w:pPr>
        <w:snapToGrid w:val="0"/>
        <w:spacing w:before="100" w:beforeAutospacing="1" w:after="100" w:afterAutospacing="1" w:line="440" w:lineRule="exact"/>
        <w:ind w:left="210" w:leftChars="100" w:right="210" w:rightChars="100"/>
        <w:jc w:val="distribute"/>
        <w:rPr>
          <w:rFonts w:ascii="仿宋" w:hAnsi="仿宋" w:eastAsia="仿宋"/>
          <w:bCs/>
          <w:color w:val="auto"/>
          <w:sz w:val="24"/>
          <w:szCs w:val="24"/>
        </w:rPr>
      </w:pPr>
      <w:r>
        <w:rPr>
          <w:rFonts w:ascii="仿宋" w:hAnsi="仿宋" w:eastAsia="仿宋"/>
          <w:bCs/>
          <w:color w:val="auto"/>
          <w:sz w:val="24"/>
          <w:szCs w:val="24"/>
        </w:rPr>
        <w:t xml:space="preserve"> 1</w:t>
      </w:r>
      <w:r>
        <w:rPr>
          <w:rFonts w:hint="eastAsia" w:ascii="仿宋" w:hAnsi="仿宋" w:eastAsia="仿宋"/>
          <w:bCs/>
          <w:color w:val="auto"/>
          <w:sz w:val="24"/>
          <w:szCs w:val="24"/>
        </w:rPr>
        <w:t>、（</w:t>
      </w:r>
      <w:r>
        <w:rPr>
          <w:rFonts w:ascii="仿宋" w:hAnsi="仿宋" w:eastAsia="仿宋"/>
          <w:bCs/>
          <w:color w:val="auto"/>
          <w:sz w:val="24"/>
          <w:szCs w:val="24"/>
        </w:rPr>
        <w:t>2020）最高法民终1142号  …………………………………</w:t>
      </w:r>
      <w:r>
        <w:rPr>
          <w:rFonts w:hint="eastAsia" w:ascii="仿宋" w:hAnsi="仿宋" w:eastAsia="仿宋"/>
          <w:bCs/>
          <w:color w:val="auto"/>
          <w:sz w:val="24"/>
          <w:szCs w:val="24"/>
        </w:rPr>
        <w:t xml:space="preserve"> </w:t>
      </w:r>
      <w:r>
        <w:rPr>
          <w:rFonts w:ascii="仿宋" w:hAnsi="仿宋" w:eastAsia="仿宋"/>
          <w:bCs/>
          <w:color w:val="auto"/>
          <w:sz w:val="24"/>
          <w:szCs w:val="24"/>
        </w:rPr>
        <w:t>11-24</w:t>
      </w:r>
      <w:r>
        <w:rPr>
          <w:rFonts w:hint="eastAsia" w:ascii="仿宋" w:hAnsi="仿宋" w:eastAsia="仿宋"/>
          <w:bCs/>
          <w:color w:val="auto"/>
          <w:sz w:val="24"/>
          <w:szCs w:val="24"/>
        </w:rPr>
        <w:t>页</w:t>
      </w:r>
    </w:p>
    <w:p w14:paraId="5834554F">
      <w:pPr>
        <w:snapToGrid w:val="0"/>
        <w:spacing w:before="100" w:beforeAutospacing="1" w:after="100" w:afterAutospacing="1" w:line="440" w:lineRule="exact"/>
        <w:ind w:left="210" w:leftChars="100" w:right="210" w:rightChars="100"/>
        <w:jc w:val="distribute"/>
        <w:rPr>
          <w:rFonts w:ascii="仿宋" w:hAnsi="仿宋" w:eastAsia="仿宋"/>
          <w:bCs/>
          <w:color w:val="auto"/>
          <w:sz w:val="24"/>
          <w:szCs w:val="24"/>
        </w:rPr>
      </w:pPr>
      <w:r>
        <w:rPr>
          <w:rFonts w:ascii="仿宋" w:hAnsi="仿宋" w:eastAsia="仿宋"/>
          <w:bCs/>
          <w:color w:val="auto"/>
          <w:sz w:val="24"/>
          <w:szCs w:val="24"/>
        </w:rPr>
        <w:t xml:space="preserve"> </w:t>
      </w:r>
      <w:r>
        <w:rPr>
          <w:rFonts w:hint="eastAsia" w:ascii="仿宋" w:hAnsi="仿宋" w:eastAsia="仿宋"/>
          <w:bCs/>
          <w:color w:val="auto"/>
          <w:sz w:val="24"/>
          <w:szCs w:val="24"/>
        </w:rPr>
        <w:t>2、</w:t>
      </w:r>
      <w:r>
        <w:rPr>
          <w:rFonts w:ascii="仿宋" w:hAnsi="仿宋" w:eastAsia="仿宋"/>
          <w:bCs/>
          <w:color w:val="auto"/>
          <w:sz w:val="24"/>
          <w:szCs w:val="24"/>
        </w:rPr>
        <w:t>(2018)最高法民终781号</w:t>
      </w:r>
      <w:r>
        <w:rPr>
          <w:rFonts w:hint="eastAsia" w:ascii="仿宋" w:hAnsi="仿宋" w:eastAsia="仿宋"/>
          <w:bCs/>
          <w:color w:val="auto"/>
          <w:sz w:val="24"/>
          <w:szCs w:val="24"/>
        </w:rPr>
        <w:t xml:space="preserve">  </w:t>
      </w:r>
      <w:r>
        <w:rPr>
          <w:rFonts w:ascii="仿宋" w:hAnsi="仿宋" w:eastAsia="仿宋"/>
          <w:bCs/>
          <w:color w:val="auto"/>
          <w:sz w:val="24"/>
          <w:szCs w:val="24"/>
        </w:rPr>
        <w:t>…………………………………</w:t>
      </w:r>
      <w:r>
        <w:rPr>
          <w:rFonts w:hint="eastAsia" w:ascii="仿宋" w:hAnsi="仿宋" w:eastAsia="仿宋"/>
          <w:bCs/>
          <w:color w:val="auto"/>
          <w:sz w:val="24"/>
          <w:szCs w:val="24"/>
        </w:rPr>
        <w:t>…</w:t>
      </w:r>
      <w:r>
        <w:rPr>
          <w:rFonts w:ascii="仿宋" w:hAnsi="仿宋" w:eastAsia="仿宋"/>
          <w:bCs/>
          <w:color w:val="auto"/>
          <w:sz w:val="24"/>
          <w:szCs w:val="24"/>
        </w:rPr>
        <w:t xml:space="preserve"> 24-34</w:t>
      </w:r>
      <w:r>
        <w:rPr>
          <w:rFonts w:hint="eastAsia" w:ascii="仿宋" w:hAnsi="仿宋" w:eastAsia="仿宋"/>
          <w:bCs/>
          <w:color w:val="auto"/>
          <w:sz w:val="24"/>
          <w:szCs w:val="24"/>
        </w:rPr>
        <w:t>页</w:t>
      </w:r>
    </w:p>
    <w:p w14:paraId="15B16D05">
      <w:pPr>
        <w:snapToGrid w:val="0"/>
        <w:spacing w:before="100" w:beforeAutospacing="1" w:after="100" w:afterAutospacing="1" w:line="440" w:lineRule="exact"/>
        <w:ind w:left="282" w:leftChars="100" w:right="210" w:rightChars="100" w:hanging="72" w:hangingChars="30"/>
        <w:jc w:val="distribute"/>
        <w:rPr>
          <w:rFonts w:ascii="仿宋" w:hAnsi="仿宋" w:eastAsia="仿宋"/>
          <w:bCs/>
          <w:color w:val="auto"/>
          <w:sz w:val="24"/>
          <w:szCs w:val="24"/>
        </w:rPr>
      </w:pPr>
      <w:r>
        <w:rPr>
          <w:rFonts w:ascii="仿宋" w:hAnsi="仿宋" w:eastAsia="仿宋"/>
          <w:bCs/>
          <w:color w:val="auto"/>
          <w:sz w:val="24"/>
          <w:szCs w:val="24"/>
        </w:rPr>
        <w:t xml:space="preserve"> 3</w:t>
      </w:r>
      <w:r>
        <w:rPr>
          <w:rFonts w:hint="eastAsia" w:ascii="仿宋" w:hAnsi="仿宋" w:eastAsia="仿宋"/>
          <w:bCs/>
          <w:color w:val="auto"/>
          <w:sz w:val="24"/>
          <w:szCs w:val="24"/>
        </w:rPr>
        <w:t>、（</w:t>
      </w:r>
      <w:r>
        <w:rPr>
          <w:rFonts w:ascii="仿宋" w:hAnsi="仿宋" w:eastAsia="仿宋"/>
          <w:bCs/>
          <w:color w:val="auto"/>
          <w:sz w:val="24"/>
          <w:szCs w:val="24"/>
        </w:rPr>
        <w:t>2019）最高法民申5682号</w:t>
      </w:r>
      <w:r>
        <w:rPr>
          <w:rFonts w:hint="eastAsia" w:ascii="仿宋" w:hAnsi="仿宋" w:eastAsia="仿宋"/>
          <w:bCs/>
          <w:color w:val="auto"/>
          <w:sz w:val="24"/>
          <w:szCs w:val="24"/>
        </w:rPr>
        <w:t xml:space="preserve"> </w:t>
      </w:r>
      <w:r>
        <w:rPr>
          <w:rFonts w:ascii="仿宋" w:hAnsi="仿宋" w:eastAsia="仿宋"/>
          <w:bCs/>
          <w:color w:val="auto"/>
          <w:sz w:val="24"/>
          <w:szCs w:val="24"/>
        </w:rPr>
        <w:t xml:space="preserve"> …………………………………</w:t>
      </w:r>
      <w:r>
        <w:rPr>
          <w:rFonts w:hint="eastAsia" w:ascii="仿宋" w:hAnsi="仿宋" w:eastAsia="仿宋"/>
          <w:bCs/>
          <w:color w:val="auto"/>
          <w:sz w:val="24"/>
          <w:szCs w:val="24"/>
        </w:rPr>
        <w:t xml:space="preserve"> </w:t>
      </w:r>
      <w:r>
        <w:rPr>
          <w:rFonts w:ascii="仿宋" w:hAnsi="仿宋" w:eastAsia="仿宋"/>
          <w:bCs/>
          <w:color w:val="auto"/>
          <w:sz w:val="24"/>
          <w:szCs w:val="24"/>
        </w:rPr>
        <w:t>35-42</w:t>
      </w:r>
      <w:r>
        <w:rPr>
          <w:rFonts w:hint="eastAsia" w:ascii="仿宋" w:hAnsi="仿宋" w:eastAsia="仿宋"/>
          <w:bCs/>
          <w:color w:val="auto"/>
          <w:sz w:val="24"/>
          <w:szCs w:val="24"/>
        </w:rPr>
        <w:t>页</w:t>
      </w:r>
    </w:p>
    <w:p w14:paraId="6CE49A76">
      <w:pPr>
        <w:snapToGrid w:val="0"/>
        <w:spacing w:before="100" w:beforeAutospacing="1" w:after="100" w:afterAutospacing="1" w:line="440" w:lineRule="exact"/>
        <w:ind w:left="210" w:leftChars="100" w:right="210" w:rightChars="100"/>
        <w:jc w:val="distribute"/>
        <w:rPr>
          <w:rFonts w:ascii="仿宋" w:hAnsi="仿宋" w:eastAsia="仿宋"/>
          <w:bCs/>
          <w:color w:val="auto"/>
          <w:sz w:val="24"/>
          <w:szCs w:val="24"/>
        </w:rPr>
      </w:pPr>
      <w:r>
        <w:rPr>
          <w:rFonts w:ascii="仿宋" w:hAnsi="仿宋" w:eastAsia="仿宋"/>
          <w:bCs/>
          <w:color w:val="auto"/>
          <w:sz w:val="24"/>
          <w:szCs w:val="24"/>
        </w:rPr>
        <w:t xml:space="preserve"> </w:t>
      </w:r>
      <w:r>
        <w:rPr>
          <w:rFonts w:hint="eastAsia" w:ascii="仿宋" w:hAnsi="仿宋" w:eastAsia="仿宋"/>
          <w:bCs/>
          <w:color w:val="auto"/>
          <w:sz w:val="24"/>
          <w:szCs w:val="24"/>
        </w:rPr>
        <w:t>4、</w:t>
      </w:r>
      <w:r>
        <w:rPr>
          <w:rFonts w:ascii="仿宋" w:hAnsi="仿宋" w:eastAsia="仿宋"/>
          <w:bCs/>
          <w:color w:val="auto"/>
          <w:sz w:val="24"/>
          <w:szCs w:val="24"/>
        </w:rPr>
        <w:t>(2017)最高法民申4707号……………………………………</w:t>
      </w:r>
      <w:r>
        <w:rPr>
          <w:rFonts w:hint="eastAsia" w:ascii="仿宋" w:hAnsi="仿宋" w:eastAsia="仿宋"/>
          <w:bCs/>
          <w:color w:val="auto"/>
          <w:sz w:val="24"/>
          <w:szCs w:val="24"/>
        </w:rPr>
        <w:t xml:space="preserve">… </w:t>
      </w:r>
      <w:r>
        <w:rPr>
          <w:rFonts w:ascii="仿宋" w:hAnsi="仿宋" w:eastAsia="仿宋"/>
          <w:bCs/>
          <w:color w:val="auto"/>
          <w:sz w:val="24"/>
          <w:szCs w:val="24"/>
        </w:rPr>
        <w:t>43</w:t>
      </w:r>
      <w:r>
        <w:rPr>
          <w:rFonts w:hint="eastAsia" w:ascii="仿宋" w:hAnsi="仿宋" w:eastAsia="仿宋"/>
          <w:bCs/>
          <w:color w:val="auto"/>
          <w:sz w:val="24"/>
          <w:szCs w:val="24"/>
        </w:rPr>
        <w:t>-</w:t>
      </w:r>
      <w:r>
        <w:rPr>
          <w:rFonts w:ascii="仿宋" w:hAnsi="仿宋" w:eastAsia="仿宋"/>
          <w:bCs/>
          <w:color w:val="auto"/>
          <w:sz w:val="24"/>
          <w:szCs w:val="24"/>
        </w:rPr>
        <w:t>45</w:t>
      </w:r>
      <w:r>
        <w:rPr>
          <w:rFonts w:hint="eastAsia" w:ascii="仿宋" w:hAnsi="仿宋" w:eastAsia="仿宋"/>
          <w:bCs/>
          <w:color w:val="auto"/>
          <w:sz w:val="24"/>
          <w:szCs w:val="24"/>
        </w:rPr>
        <w:t>页</w:t>
      </w:r>
    </w:p>
    <w:p w14:paraId="6DA9272A">
      <w:pPr>
        <w:snapToGrid w:val="0"/>
        <w:spacing w:before="100" w:beforeAutospacing="1" w:after="100" w:afterAutospacing="1" w:line="440" w:lineRule="exact"/>
        <w:ind w:left="210" w:leftChars="100" w:right="210" w:rightChars="100"/>
        <w:jc w:val="distribute"/>
        <w:rPr>
          <w:rFonts w:ascii="仿宋" w:hAnsi="仿宋" w:eastAsia="仿宋"/>
          <w:bCs/>
          <w:color w:val="auto"/>
          <w:sz w:val="24"/>
          <w:szCs w:val="24"/>
        </w:rPr>
      </w:pPr>
      <w:r>
        <w:rPr>
          <w:rFonts w:ascii="仿宋" w:hAnsi="仿宋" w:eastAsia="仿宋"/>
          <w:bCs/>
          <w:color w:val="auto"/>
          <w:sz w:val="24"/>
          <w:szCs w:val="24"/>
        </w:rPr>
        <w:t xml:space="preserve"> 5</w:t>
      </w:r>
      <w:r>
        <w:rPr>
          <w:rFonts w:hint="eastAsia" w:ascii="仿宋" w:hAnsi="仿宋" w:eastAsia="仿宋"/>
          <w:bCs/>
          <w:color w:val="auto"/>
          <w:sz w:val="24"/>
          <w:szCs w:val="24"/>
        </w:rPr>
        <w:t>、（</w:t>
      </w:r>
      <w:r>
        <w:rPr>
          <w:rFonts w:ascii="仿宋" w:hAnsi="仿宋" w:eastAsia="仿宋"/>
          <w:bCs/>
          <w:color w:val="auto"/>
          <w:sz w:val="24"/>
          <w:szCs w:val="24"/>
        </w:rPr>
        <w:t>2019）最高法民申4968号  ………………………………</w:t>
      </w:r>
      <w:r>
        <w:rPr>
          <w:rFonts w:hint="eastAsia" w:ascii="仿宋" w:hAnsi="仿宋" w:eastAsia="仿宋"/>
          <w:bCs/>
          <w:color w:val="auto"/>
          <w:sz w:val="24"/>
          <w:szCs w:val="24"/>
        </w:rPr>
        <w:t xml:space="preserve">… </w:t>
      </w:r>
      <w:r>
        <w:rPr>
          <w:rFonts w:ascii="仿宋" w:hAnsi="仿宋" w:eastAsia="仿宋"/>
          <w:bCs/>
          <w:color w:val="auto"/>
          <w:sz w:val="24"/>
          <w:szCs w:val="24"/>
        </w:rPr>
        <w:t>45</w:t>
      </w:r>
      <w:r>
        <w:rPr>
          <w:rFonts w:hint="eastAsia" w:ascii="仿宋" w:hAnsi="仿宋" w:eastAsia="仿宋"/>
          <w:bCs/>
          <w:color w:val="auto"/>
          <w:sz w:val="24"/>
          <w:szCs w:val="24"/>
        </w:rPr>
        <w:t>-</w:t>
      </w:r>
      <w:r>
        <w:rPr>
          <w:rFonts w:ascii="仿宋" w:hAnsi="仿宋" w:eastAsia="仿宋"/>
          <w:bCs/>
          <w:color w:val="auto"/>
          <w:sz w:val="24"/>
          <w:szCs w:val="24"/>
        </w:rPr>
        <w:t>47</w:t>
      </w:r>
      <w:r>
        <w:rPr>
          <w:rFonts w:hint="eastAsia" w:ascii="仿宋" w:hAnsi="仿宋" w:eastAsia="仿宋"/>
          <w:bCs/>
          <w:color w:val="auto"/>
          <w:sz w:val="24"/>
          <w:szCs w:val="24"/>
        </w:rPr>
        <w:t>页</w:t>
      </w:r>
    </w:p>
    <w:p w14:paraId="12F297C0">
      <w:pPr>
        <w:snapToGrid w:val="0"/>
        <w:spacing w:before="100" w:beforeAutospacing="1" w:after="100" w:afterAutospacing="1" w:line="440" w:lineRule="exact"/>
        <w:ind w:left="210" w:leftChars="100" w:right="210" w:rightChars="100"/>
        <w:jc w:val="distribute"/>
        <w:rPr>
          <w:rFonts w:ascii="仿宋" w:hAnsi="仿宋" w:eastAsia="仿宋"/>
          <w:bCs/>
          <w:color w:val="auto"/>
          <w:sz w:val="24"/>
          <w:szCs w:val="24"/>
        </w:rPr>
      </w:pPr>
      <w:r>
        <w:rPr>
          <w:rFonts w:ascii="仿宋" w:hAnsi="仿宋" w:eastAsia="仿宋"/>
          <w:color w:val="auto"/>
          <w:sz w:val="24"/>
          <w:szCs w:val="24"/>
        </w:rPr>
        <w:t xml:space="preserve"> 6</w:t>
      </w:r>
      <w:r>
        <w:rPr>
          <w:rFonts w:hint="eastAsia" w:ascii="仿宋" w:hAnsi="仿宋" w:eastAsia="仿宋"/>
          <w:color w:val="auto"/>
          <w:sz w:val="24"/>
          <w:szCs w:val="24"/>
        </w:rPr>
        <w:t>、（</w:t>
      </w:r>
      <w:r>
        <w:rPr>
          <w:rFonts w:ascii="仿宋" w:hAnsi="仿宋" w:eastAsia="仿宋"/>
          <w:color w:val="auto"/>
          <w:sz w:val="24"/>
          <w:szCs w:val="24"/>
        </w:rPr>
        <w:t>2019）陕民终517号</w:t>
      </w:r>
      <w:r>
        <w:rPr>
          <w:rFonts w:hint="eastAsia" w:ascii="仿宋" w:hAnsi="仿宋" w:eastAsia="仿宋"/>
          <w:bCs/>
          <w:color w:val="auto"/>
          <w:sz w:val="24"/>
          <w:szCs w:val="24"/>
        </w:rPr>
        <w:t xml:space="preserve"> </w:t>
      </w:r>
      <w:r>
        <w:rPr>
          <w:rFonts w:ascii="仿宋" w:hAnsi="仿宋" w:eastAsia="仿宋"/>
          <w:bCs/>
          <w:color w:val="auto"/>
          <w:sz w:val="24"/>
          <w:szCs w:val="24"/>
        </w:rPr>
        <w:t xml:space="preserve"> ……………………………………</w:t>
      </w:r>
      <w:r>
        <w:rPr>
          <w:rFonts w:hint="eastAsia" w:ascii="仿宋" w:hAnsi="仿宋" w:eastAsia="仿宋"/>
          <w:bCs/>
          <w:color w:val="auto"/>
          <w:sz w:val="24"/>
          <w:szCs w:val="24"/>
        </w:rPr>
        <w:t xml:space="preserve">…… </w:t>
      </w:r>
      <w:r>
        <w:rPr>
          <w:rFonts w:ascii="仿宋" w:hAnsi="仿宋" w:eastAsia="仿宋"/>
          <w:bCs/>
          <w:color w:val="auto"/>
          <w:sz w:val="24"/>
          <w:szCs w:val="24"/>
        </w:rPr>
        <w:t>48-60</w:t>
      </w:r>
      <w:r>
        <w:rPr>
          <w:rFonts w:hint="eastAsia" w:ascii="仿宋" w:hAnsi="仿宋" w:eastAsia="仿宋"/>
          <w:bCs/>
          <w:color w:val="auto"/>
          <w:sz w:val="24"/>
          <w:szCs w:val="24"/>
        </w:rPr>
        <w:t>页</w:t>
      </w:r>
    </w:p>
    <w:p w14:paraId="34AC267F">
      <w:pPr>
        <w:tabs>
          <w:tab w:val="left" w:pos="426"/>
        </w:tabs>
        <w:snapToGrid w:val="0"/>
        <w:spacing w:before="100" w:beforeAutospacing="1" w:after="100" w:afterAutospacing="1" w:line="440" w:lineRule="exact"/>
        <w:ind w:right="210" w:rightChars="100"/>
        <w:jc w:val="distribute"/>
        <w:rPr>
          <w:rFonts w:ascii="仿宋" w:hAnsi="仿宋" w:eastAsia="仿宋"/>
          <w:bCs/>
          <w:color w:val="auto"/>
          <w:sz w:val="24"/>
          <w:szCs w:val="24"/>
        </w:rPr>
      </w:pPr>
    </w:p>
    <w:p w14:paraId="62C523B0">
      <w:pPr>
        <w:spacing w:before="312" w:beforeLines="100" w:after="156" w:afterLines="50" w:line="440" w:lineRule="exact"/>
        <w:jc w:val="center"/>
        <w:rPr>
          <w:rFonts w:ascii="仿宋" w:hAnsi="仿宋" w:eastAsia="仿宋"/>
          <w:b/>
          <w:color w:val="auto"/>
          <w:sz w:val="30"/>
          <w:szCs w:val="30"/>
        </w:rPr>
        <w:sectPr>
          <w:pgSz w:w="11906" w:h="16838"/>
          <w:pgMar w:top="1440" w:right="1800" w:bottom="1440" w:left="1800" w:header="851" w:footer="992" w:gutter="0"/>
          <w:cols w:space="425" w:num="1"/>
          <w:docGrid w:type="lines" w:linePitch="312" w:charSpace="0"/>
        </w:sectPr>
      </w:pPr>
    </w:p>
    <w:p w14:paraId="5A6E92CA">
      <w:pPr>
        <w:spacing w:before="468" w:beforeLines="150" w:after="468" w:afterLines="150" w:line="480" w:lineRule="exact"/>
        <w:jc w:val="center"/>
        <w:rPr>
          <w:rFonts w:ascii="仿宋" w:hAnsi="仿宋" w:eastAsia="仿宋"/>
          <w:b/>
          <w:color w:val="auto"/>
          <w:sz w:val="30"/>
          <w:szCs w:val="30"/>
        </w:rPr>
      </w:pPr>
      <w:r>
        <w:rPr>
          <w:rFonts w:hint="eastAsia" w:ascii="仿宋" w:hAnsi="仿宋" w:eastAsia="仿宋"/>
          <w:b/>
          <w:color w:val="auto"/>
          <w:sz w:val="30"/>
          <w:szCs w:val="30"/>
        </w:rPr>
        <w:t>案涉争议问题相关检索报告</w:t>
      </w:r>
    </w:p>
    <w:p w14:paraId="2D4874F6">
      <w:pPr>
        <w:spacing w:before="156" w:beforeLines="50" w:after="156" w:afterLines="50" w:line="480" w:lineRule="exact"/>
        <w:rPr>
          <w:rFonts w:hint="eastAsia" w:ascii="仿宋" w:hAnsi="仿宋" w:eastAsia="仿宋"/>
          <w:color w:val="auto"/>
          <w:sz w:val="24"/>
          <w:szCs w:val="30"/>
          <w:lang w:val="en-US" w:eastAsia="zh-CN"/>
        </w:rPr>
      </w:pPr>
      <w:r>
        <w:rPr>
          <w:rFonts w:hint="eastAsia" w:ascii="仿宋" w:hAnsi="仿宋" w:eastAsia="仿宋"/>
          <w:color w:val="auto"/>
          <w:sz w:val="24"/>
          <w:szCs w:val="30"/>
        </w:rPr>
        <w:t>尊敬的合议庭：</w:t>
      </w:r>
      <w:r>
        <w:rPr>
          <w:rFonts w:hint="eastAsia" w:ascii="仿宋" w:hAnsi="仿宋" w:eastAsia="仿宋"/>
          <w:color w:val="4A66AC" w:themeColor="accent1"/>
          <w:sz w:val="24"/>
          <w:szCs w:val="30"/>
          <w:lang w:eastAsia="zh-CN"/>
          <w14:textFill>
            <w14:solidFill>
              <w14:schemeClr w14:val="accent1"/>
            </w14:solidFill>
          </w14:textFill>
        </w:rPr>
        <w:t>【</w:t>
      </w:r>
      <w:r>
        <w:rPr>
          <w:rFonts w:hint="eastAsia" w:ascii="仿宋" w:hAnsi="仿宋" w:eastAsia="仿宋"/>
          <w:b/>
          <w:bCs/>
          <w:color w:val="4A66AC" w:themeColor="accent1"/>
          <w:sz w:val="24"/>
          <w:szCs w:val="30"/>
          <w:lang w:val="en-US" w:eastAsia="zh-CN"/>
          <w14:textFill>
            <w14:solidFill>
              <w14:schemeClr w14:val="accent1"/>
            </w14:solidFill>
          </w14:textFill>
        </w:rPr>
        <w:t>开篇</w:t>
      </w:r>
      <w:r>
        <w:rPr>
          <w:rFonts w:hint="eastAsia" w:ascii="仿宋" w:hAnsi="仿宋" w:eastAsia="仿宋"/>
          <w:b/>
          <w:bCs/>
          <w:color w:val="4A66AC" w:themeColor="accent1"/>
          <w:sz w:val="24"/>
          <w:szCs w:val="24"/>
          <w:lang w:val="en-US" w:eastAsia="zh-CN"/>
          <w14:textFill>
            <w14:solidFill>
              <w14:schemeClr w14:val="accent1"/>
            </w14:solidFill>
          </w14:textFill>
        </w:rPr>
        <w:t>可</w:t>
      </w:r>
      <w:r>
        <w:rPr>
          <w:rFonts w:hint="eastAsia" w:ascii="仿宋" w:hAnsi="仿宋" w:eastAsia="仿宋"/>
          <w:b/>
          <w:color w:val="4A66AC" w:themeColor="accent1"/>
          <w:sz w:val="24"/>
          <w:szCs w:val="24"/>
          <w:lang w:val="en-US" w:eastAsia="zh-CN"/>
          <w14:textFill>
            <w14:solidFill>
              <w14:schemeClr w14:val="accent1"/>
            </w14:solidFill>
          </w14:textFill>
        </w:rPr>
        <w:t>参考该模板样式</w:t>
      </w:r>
      <w:r>
        <w:rPr>
          <w:rFonts w:hint="eastAsia" w:ascii="仿宋" w:hAnsi="仿宋" w:eastAsia="仿宋"/>
          <w:color w:val="4A66AC" w:themeColor="accent1"/>
          <w:sz w:val="24"/>
          <w:szCs w:val="30"/>
          <w:lang w:eastAsia="zh-CN"/>
          <w14:textFill>
            <w14:solidFill>
              <w14:schemeClr w14:val="accent1"/>
            </w14:solidFill>
          </w14:textFill>
        </w:rPr>
        <w:t>】</w:t>
      </w:r>
    </w:p>
    <w:p w14:paraId="5FF4D917">
      <w:pPr>
        <w:spacing w:before="156" w:beforeLines="50" w:after="156" w:afterLines="50" w:line="480" w:lineRule="exact"/>
        <w:ind w:firstLine="482" w:firstLineChars="200"/>
        <w:rPr>
          <w:rFonts w:hint="eastAsia" w:ascii="仿宋" w:hAnsi="仿宋" w:eastAsia="仿宋"/>
          <w:b/>
          <w:color w:val="4A66AC" w:themeColor="accent1"/>
          <w:sz w:val="44"/>
          <w:szCs w:val="44"/>
          <w:lang w:val="en-US" w:eastAsia="zh-CN"/>
          <w14:textFill>
            <w14:solidFill>
              <w14:schemeClr w14:val="accent1"/>
            </w14:solidFill>
          </w14:textFill>
        </w:rPr>
      </w:pPr>
      <w:r>
        <w:rPr>
          <w:rFonts w:hint="eastAsia" w:ascii="仿宋" w:hAnsi="仿宋" w:eastAsia="仿宋"/>
          <w:b/>
          <w:color w:val="4A66AC" w:themeColor="accent1"/>
          <w:sz w:val="24"/>
          <w:szCs w:val="24"/>
          <w:lang w:val="en-US" w:eastAsia="zh-CN"/>
          <w14:textFill>
            <w14:solidFill>
              <w14:schemeClr w14:val="accent1"/>
            </w14:solidFill>
          </w14:textFill>
        </w:rPr>
        <w:t>【写本案争议焦点】</w:t>
      </w:r>
      <w:r>
        <w:rPr>
          <w:rFonts w:hint="eastAsia" w:ascii="仿宋" w:hAnsi="仿宋" w:eastAsia="仿宋"/>
          <w:b/>
          <w:bCs/>
          <w:color w:val="auto"/>
          <w:sz w:val="24"/>
          <w:szCs w:val="30"/>
        </w:rPr>
        <w:t>本案中</w:t>
      </w:r>
      <w:r>
        <w:rPr>
          <w:rFonts w:hint="eastAsia" w:ascii="仿宋" w:hAnsi="仿宋" w:eastAsia="仿宋"/>
          <w:b w:val="0"/>
          <w:bCs w:val="0"/>
          <w:color w:val="auto"/>
          <w:sz w:val="24"/>
          <w:szCs w:val="30"/>
        </w:rPr>
        <w:t>，</w:t>
      </w:r>
      <w:r>
        <w:rPr>
          <w:rFonts w:hint="eastAsia" w:ascii="仿宋" w:hAnsi="仿宋" w:eastAsia="仿宋"/>
          <w:b w:val="0"/>
          <w:bCs w:val="0"/>
          <w:color w:val="auto"/>
          <w:sz w:val="24"/>
          <w:szCs w:val="30"/>
          <w:u w:val="single"/>
        </w:rPr>
        <w:t>（</w:t>
      </w:r>
      <w:r>
        <w:rPr>
          <w:rFonts w:ascii="仿宋" w:hAnsi="仿宋" w:eastAsia="仿宋"/>
          <w:b w:val="0"/>
          <w:bCs w:val="0"/>
          <w:color w:val="auto"/>
          <w:sz w:val="24"/>
          <w:szCs w:val="30"/>
          <w:u w:val="single"/>
        </w:rPr>
        <w:t>1</w:t>
      </w:r>
      <w:r>
        <w:rPr>
          <w:rFonts w:hint="eastAsia" w:ascii="仿宋" w:hAnsi="仿宋" w:eastAsia="仿宋"/>
          <w:b w:val="0"/>
          <w:bCs w:val="0"/>
          <w:color w:val="auto"/>
          <w:sz w:val="24"/>
          <w:szCs w:val="30"/>
          <w:u w:val="single"/>
        </w:rPr>
        <w:t>）</w:t>
      </w:r>
      <w:r>
        <w:rPr>
          <w:rFonts w:hint="eastAsia" w:ascii="仿宋" w:hAnsi="仿宋" w:eastAsia="仿宋"/>
          <w:b w:val="0"/>
          <w:bCs w:val="0"/>
          <w:color w:val="auto"/>
          <w:sz w:val="24"/>
          <w:szCs w:val="30"/>
          <w:u w:val="single"/>
          <w:lang w:val="en-US" w:eastAsia="zh-CN"/>
        </w:rPr>
        <w:t>A</w:t>
      </w:r>
      <w:r>
        <w:rPr>
          <w:rFonts w:hint="eastAsia" w:ascii="仿宋" w:hAnsi="仿宋" w:eastAsia="仿宋"/>
          <w:b w:val="0"/>
          <w:bCs w:val="0"/>
          <w:color w:val="auto"/>
          <w:sz w:val="24"/>
          <w:szCs w:val="30"/>
          <w:u w:val="single"/>
        </w:rPr>
        <w:t>是否应当向</w:t>
      </w:r>
      <w:r>
        <w:rPr>
          <w:rFonts w:hint="eastAsia" w:ascii="仿宋" w:hAnsi="仿宋" w:eastAsia="仿宋"/>
          <w:b w:val="0"/>
          <w:bCs w:val="0"/>
          <w:color w:val="auto"/>
          <w:sz w:val="24"/>
          <w:szCs w:val="30"/>
          <w:u w:val="single"/>
          <w:lang w:val="en-US" w:eastAsia="zh-CN"/>
        </w:rPr>
        <w:t>B</w:t>
      </w:r>
      <w:r>
        <w:rPr>
          <w:rFonts w:hint="eastAsia" w:ascii="仿宋" w:hAnsi="仿宋" w:eastAsia="仿宋"/>
          <w:b w:val="0"/>
          <w:bCs w:val="0"/>
          <w:color w:val="auto"/>
          <w:sz w:val="24"/>
          <w:szCs w:val="30"/>
          <w:u w:val="single"/>
        </w:rPr>
        <w:t>支付调增人工费；（2）</w:t>
      </w:r>
      <w:r>
        <w:rPr>
          <w:rFonts w:hint="eastAsia" w:ascii="仿宋" w:hAnsi="仿宋" w:eastAsia="仿宋"/>
          <w:b w:val="0"/>
          <w:bCs w:val="0"/>
          <w:color w:val="auto"/>
          <w:sz w:val="24"/>
          <w:szCs w:val="30"/>
          <w:u w:val="single"/>
          <w:lang w:val="en-US" w:eastAsia="zh-CN"/>
        </w:rPr>
        <w:t>A</w:t>
      </w:r>
      <w:r>
        <w:rPr>
          <w:rFonts w:hint="eastAsia" w:ascii="仿宋" w:hAnsi="仿宋" w:eastAsia="仿宋"/>
          <w:b w:val="0"/>
          <w:bCs w:val="0"/>
          <w:color w:val="auto"/>
          <w:sz w:val="24"/>
          <w:szCs w:val="30"/>
          <w:u w:val="single"/>
        </w:rPr>
        <w:t>公司支付利息的起算时间</w:t>
      </w:r>
      <w:r>
        <w:rPr>
          <w:rFonts w:hint="eastAsia" w:ascii="仿宋" w:hAnsi="仿宋" w:eastAsia="仿宋"/>
          <w:b w:val="0"/>
          <w:bCs w:val="0"/>
          <w:color w:val="auto"/>
          <w:sz w:val="24"/>
          <w:szCs w:val="30"/>
        </w:rPr>
        <w:t>，</w:t>
      </w:r>
      <w:r>
        <w:rPr>
          <w:rFonts w:hint="eastAsia" w:ascii="仿宋" w:hAnsi="仿宋" w:eastAsia="仿宋"/>
          <w:b/>
          <w:bCs/>
          <w:color w:val="auto"/>
          <w:sz w:val="24"/>
          <w:szCs w:val="30"/>
        </w:rPr>
        <w:t>系争议问题。</w:t>
      </w:r>
    </w:p>
    <w:p w14:paraId="696A6085">
      <w:pPr>
        <w:spacing w:before="156" w:beforeLines="50" w:after="156" w:afterLines="50" w:line="480" w:lineRule="exact"/>
        <w:ind w:firstLine="482" w:firstLineChars="200"/>
        <w:rPr>
          <w:rFonts w:hint="eastAsia" w:ascii="仿宋" w:hAnsi="仿宋" w:eastAsia="仿宋"/>
          <w:b/>
          <w:bCs/>
          <w:color w:val="auto"/>
          <w:sz w:val="24"/>
          <w:szCs w:val="30"/>
        </w:rPr>
      </w:pPr>
      <w:r>
        <w:rPr>
          <w:rFonts w:hint="eastAsia" w:ascii="仿宋" w:hAnsi="仿宋" w:eastAsia="仿宋"/>
          <w:b/>
          <w:color w:val="4A66AC" w:themeColor="accent1"/>
          <w:sz w:val="24"/>
          <w:szCs w:val="24"/>
          <w:lang w:val="en-US" w:eastAsia="zh-CN"/>
          <w14:textFill>
            <w14:solidFill>
              <w14:schemeClr w14:val="accent1"/>
            </w14:solidFill>
          </w14:textFill>
        </w:rPr>
        <w:t>【写明类案检索结论】</w:t>
      </w:r>
      <w:r>
        <w:rPr>
          <w:rFonts w:hint="eastAsia" w:ascii="仿宋" w:hAnsi="仿宋" w:eastAsia="仿宋"/>
          <w:b/>
          <w:bCs/>
          <w:color w:val="auto"/>
          <w:sz w:val="24"/>
          <w:szCs w:val="30"/>
        </w:rPr>
        <w:t>针对上述问题搜集、整理了相关法律法规、司法解释及裁判意见，认为</w:t>
      </w:r>
      <w:r>
        <w:rPr>
          <w:rFonts w:hint="eastAsia" w:ascii="仿宋" w:hAnsi="仿宋" w:eastAsia="仿宋"/>
          <w:color w:val="auto"/>
          <w:sz w:val="24"/>
          <w:szCs w:val="30"/>
        </w:rPr>
        <w:t>：（1）</w:t>
      </w:r>
      <w:r>
        <w:rPr>
          <w:rFonts w:hint="eastAsia" w:ascii="仿宋" w:hAnsi="仿宋" w:eastAsia="仿宋"/>
          <w:color w:val="auto"/>
          <w:sz w:val="24"/>
          <w:szCs w:val="30"/>
          <w:lang w:val="en-US" w:eastAsia="zh-CN"/>
        </w:rPr>
        <w:t>A</w:t>
      </w:r>
      <w:r>
        <w:rPr>
          <w:rFonts w:hint="eastAsia" w:ascii="仿宋" w:hAnsi="仿宋" w:eastAsia="仿宋"/>
          <w:color w:val="auto"/>
          <w:sz w:val="24"/>
          <w:szCs w:val="30"/>
        </w:rPr>
        <w:t>依法依约应当向</w:t>
      </w:r>
      <w:r>
        <w:rPr>
          <w:rFonts w:hint="eastAsia" w:ascii="仿宋" w:hAnsi="仿宋" w:eastAsia="仿宋"/>
          <w:color w:val="auto"/>
          <w:sz w:val="24"/>
          <w:szCs w:val="30"/>
          <w:lang w:val="en-US" w:eastAsia="zh-CN"/>
        </w:rPr>
        <w:t>V</w:t>
      </w:r>
      <w:r>
        <w:rPr>
          <w:rFonts w:hint="eastAsia" w:ascii="仿宋" w:hAnsi="仿宋" w:eastAsia="仿宋"/>
          <w:color w:val="auto"/>
          <w:sz w:val="24"/>
          <w:szCs w:val="30"/>
        </w:rPr>
        <w:t>支付调增人工费；（2）因</w:t>
      </w:r>
      <w:r>
        <w:rPr>
          <w:rFonts w:hint="eastAsia" w:ascii="仿宋" w:hAnsi="仿宋" w:eastAsia="仿宋"/>
          <w:color w:val="auto"/>
          <w:sz w:val="24"/>
          <w:szCs w:val="30"/>
          <w:lang w:val="en-US" w:eastAsia="zh-CN"/>
        </w:rPr>
        <w:t>A</w:t>
      </w:r>
      <w:r>
        <w:rPr>
          <w:rFonts w:hint="eastAsia" w:ascii="仿宋" w:hAnsi="仿宋" w:eastAsia="仿宋"/>
          <w:color w:val="auto"/>
          <w:sz w:val="24"/>
          <w:szCs w:val="30"/>
        </w:rPr>
        <w:t>未按时向</w:t>
      </w:r>
      <w:r>
        <w:rPr>
          <w:rFonts w:hint="eastAsia" w:ascii="仿宋" w:hAnsi="仿宋" w:eastAsia="仿宋"/>
          <w:color w:val="auto"/>
          <w:sz w:val="24"/>
          <w:szCs w:val="30"/>
          <w:lang w:val="en-US" w:eastAsia="zh-CN"/>
        </w:rPr>
        <w:t>B</w:t>
      </w:r>
      <w:r>
        <w:rPr>
          <w:rFonts w:hint="eastAsia" w:ascii="仿宋" w:hAnsi="仿宋" w:eastAsia="仿宋"/>
          <w:color w:val="auto"/>
          <w:sz w:val="24"/>
          <w:szCs w:val="30"/>
        </w:rPr>
        <w:t>支付工程款，其应从工程</w:t>
      </w:r>
      <w:bookmarkStart w:id="0" w:name="_GoBack"/>
      <w:bookmarkEnd w:id="0"/>
      <w:r>
        <w:rPr>
          <w:rFonts w:hint="eastAsia" w:ascii="仿宋" w:hAnsi="仿宋" w:eastAsia="仿宋"/>
          <w:color w:val="auto"/>
          <w:sz w:val="24"/>
          <w:szCs w:val="30"/>
        </w:rPr>
        <w:t>交付之日起，向</w:t>
      </w:r>
      <w:r>
        <w:rPr>
          <w:rFonts w:hint="eastAsia" w:ascii="仿宋" w:hAnsi="仿宋" w:eastAsia="仿宋"/>
          <w:color w:val="auto"/>
          <w:sz w:val="24"/>
          <w:szCs w:val="30"/>
          <w:lang w:val="en-US" w:eastAsia="zh-CN"/>
        </w:rPr>
        <w:t>A</w:t>
      </w:r>
      <w:r>
        <w:rPr>
          <w:rFonts w:hint="eastAsia" w:ascii="仿宋" w:hAnsi="仿宋" w:eastAsia="仿宋"/>
          <w:color w:val="auto"/>
          <w:sz w:val="24"/>
          <w:szCs w:val="30"/>
        </w:rPr>
        <w:t>支付欠付工程款的利息。</w:t>
      </w:r>
      <w:r>
        <w:rPr>
          <w:rFonts w:hint="eastAsia" w:ascii="仿宋" w:hAnsi="仿宋" w:eastAsia="仿宋"/>
          <w:b/>
          <w:bCs/>
          <w:color w:val="auto"/>
          <w:sz w:val="24"/>
          <w:szCs w:val="30"/>
        </w:rPr>
        <w:t>现提交本报告，以供合议庭参考：</w:t>
      </w:r>
    </w:p>
    <w:p w14:paraId="2B15EDE4">
      <w:pPr>
        <w:pStyle w:val="2"/>
        <w:keepNext w:val="0"/>
        <w:keepLines w:val="0"/>
        <w:pageBreakBefore w:val="0"/>
        <w:widowControl/>
        <w:numPr>
          <w:ilvl w:val="0"/>
          <w:numId w:val="7"/>
        </w:numPr>
        <w:kinsoku/>
        <w:wordWrap/>
        <w:overflowPunct/>
        <w:topLinePunct w:val="0"/>
        <w:autoSpaceDE/>
        <w:autoSpaceDN/>
        <w:bidi w:val="0"/>
        <w:adjustRightInd/>
        <w:snapToGrid/>
        <w:spacing w:line="480" w:lineRule="exact"/>
        <w:ind w:left="0" w:leftChars="0" w:firstLine="0" w:firstLineChars="0"/>
        <w:textAlignment w:val="auto"/>
        <w:rPr>
          <w:rFonts w:hint="eastAsia" w:ascii="仿宋" w:hAnsi="仿宋" w:eastAsia="仿宋" w:cstheme="minorBidi"/>
          <w:b/>
          <w:bCs w:val="0"/>
          <w:color w:val="4A66AC" w:themeColor="accent1"/>
          <w:kern w:val="2"/>
          <w:sz w:val="24"/>
          <w:szCs w:val="24"/>
          <w:lang w:val="en-US" w:eastAsia="zh-CN" w:bidi="ar-SA"/>
          <w14:textFill>
            <w14:solidFill>
              <w14:schemeClr w14:val="accent1"/>
            </w14:solidFill>
          </w14:textFill>
        </w:rPr>
      </w:pPr>
      <w:r>
        <w:rPr>
          <w:rFonts w:hint="eastAsia" w:ascii="仿宋" w:hAnsi="仿宋" w:eastAsia="仿宋" w:cstheme="minorBidi"/>
          <w:b/>
          <w:bCs w:val="0"/>
          <w:color w:val="4A66AC" w:themeColor="accent1"/>
          <w:kern w:val="2"/>
          <w:sz w:val="30"/>
          <w:szCs w:val="30"/>
          <w:lang w:val="en-US" w:eastAsia="zh-CN" w:bidi="ar-SA"/>
          <w14:textFill>
            <w14:solidFill>
              <w14:schemeClr w14:val="accent1"/>
            </w14:solidFill>
          </w14:textFill>
        </w:rPr>
        <w:t>【</w:t>
      </w:r>
      <w:r>
        <w:rPr>
          <w:rFonts w:hint="eastAsia" w:ascii="仿宋" w:hAnsi="仿宋" w:cstheme="minorBidi"/>
          <w:b/>
          <w:bCs w:val="0"/>
          <w:color w:val="4A66AC" w:themeColor="accent1"/>
          <w:kern w:val="2"/>
          <w:sz w:val="30"/>
          <w:szCs w:val="30"/>
          <w:lang w:val="en-US" w:eastAsia="zh-CN" w:bidi="ar-SA"/>
          <w14:textFill>
            <w14:solidFill>
              <w14:schemeClr w14:val="accent1"/>
            </w14:solidFill>
          </w14:textFill>
        </w:rPr>
        <w:t>待决案件案情简述</w:t>
      </w:r>
      <w:r>
        <w:rPr>
          <w:rFonts w:hint="eastAsia" w:ascii="仿宋" w:hAnsi="仿宋" w:eastAsia="仿宋" w:cstheme="minorBidi"/>
          <w:b/>
          <w:bCs w:val="0"/>
          <w:color w:val="4A66AC" w:themeColor="accent1"/>
          <w:kern w:val="2"/>
          <w:sz w:val="30"/>
          <w:szCs w:val="30"/>
          <w:lang w:val="en-US" w:eastAsia="zh-CN" w:bidi="ar-SA"/>
          <w14:textFill>
            <w14:solidFill>
              <w14:schemeClr w14:val="accent1"/>
            </w14:solidFill>
          </w14:textFill>
        </w:rPr>
        <w:t>】</w:t>
      </w:r>
    </w:p>
    <w:p w14:paraId="1088ECF3">
      <w:pPr>
        <w:spacing w:before="156" w:beforeLines="50" w:after="156" w:afterLines="50" w:line="480" w:lineRule="exact"/>
        <w:ind w:firstLine="482" w:firstLineChars="200"/>
        <w:rPr>
          <w:rFonts w:hint="default" w:ascii="仿宋" w:hAnsi="仿宋" w:eastAsia="仿宋"/>
          <w:b/>
          <w:color w:val="4A66AC" w:themeColor="accent1"/>
          <w:sz w:val="24"/>
          <w:szCs w:val="24"/>
          <w:lang w:val="en-US" w:eastAsia="zh-CN"/>
          <w14:textFill>
            <w14:solidFill>
              <w14:schemeClr w14:val="accent1"/>
            </w14:solidFill>
          </w14:textFill>
        </w:rPr>
      </w:pPr>
      <w:r>
        <w:rPr>
          <w:rFonts w:hint="eastAsia" w:ascii="仿宋" w:hAnsi="仿宋" w:eastAsia="仿宋"/>
          <w:b/>
          <w:bCs/>
          <w:color w:val="auto"/>
          <w:sz w:val="24"/>
          <w:szCs w:val="30"/>
          <w:u w:val="none"/>
          <w:lang w:val="en-US" w:eastAsia="zh-CN"/>
        </w:rPr>
        <w:t>根据双方当事人各自提交的证据和陈述以及贵院在审理本案时询问的问题，本报告将待决案件的案情简述如下，方便贵院将待决案件的案情与类案的案情相比较，以参照类案的裁判要旨对待决案件进行裁判</w:t>
      </w:r>
      <w:r>
        <w:rPr>
          <w:rFonts w:hint="eastAsia" w:ascii="仿宋" w:hAnsi="仿宋" w:eastAsia="仿宋"/>
          <w:b/>
          <w:bCs/>
          <w:color w:val="auto"/>
          <w:sz w:val="24"/>
          <w:szCs w:val="30"/>
          <w:lang w:val="en-US" w:eastAsia="zh-CN"/>
        </w:rPr>
        <w:t>。</w:t>
      </w:r>
      <w:r>
        <w:rPr>
          <w:rFonts w:hint="eastAsia" w:ascii="仿宋" w:hAnsi="仿宋" w:eastAsia="仿宋"/>
          <w:b/>
          <w:color w:val="4A66AC" w:themeColor="accent1"/>
          <w:sz w:val="24"/>
          <w:szCs w:val="24"/>
          <w:lang w:val="en-US" w:eastAsia="zh-CN"/>
          <w14:textFill>
            <w14:solidFill>
              <w14:schemeClr w14:val="accent1"/>
            </w14:solidFill>
          </w14:textFill>
        </w:rPr>
        <w:t>【后续为简要概括待决案件，需要AI对于</w:t>
      </w:r>
      <w:r>
        <w:rPr>
          <w:rFonts w:hint="eastAsia" w:ascii="仿宋" w:hAnsi="仿宋" w:eastAsia="仿宋"/>
          <w:b/>
          <w:color w:val="4A66AC" w:themeColor="accent1"/>
          <w:sz w:val="24"/>
          <w:szCs w:val="24"/>
          <w:u w:val="single"/>
          <w:lang w:val="en-US" w:eastAsia="zh-CN"/>
          <w14:textFill>
            <w14:solidFill>
              <w14:schemeClr w14:val="accent1"/>
            </w14:solidFill>
          </w14:textFill>
        </w:rPr>
        <w:t>待决案件</w:t>
      </w:r>
      <w:r>
        <w:rPr>
          <w:rFonts w:hint="eastAsia" w:ascii="仿宋" w:hAnsi="仿宋" w:eastAsia="仿宋"/>
          <w:b/>
          <w:color w:val="4A66AC" w:themeColor="accent1"/>
          <w:sz w:val="24"/>
          <w:szCs w:val="24"/>
          <w:lang w:val="en-US" w:eastAsia="zh-CN"/>
          <w14:textFill>
            <w14:solidFill>
              <w14:schemeClr w14:val="accent1"/>
            </w14:solidFill>
          </w14:textFill>
        </w:rPr>
        <w:t>相关事实进行精简】</w:t>
      </w:r>
    </w:p>
    <w:p w14:paraId="1DB926E1">
      <w:pPr>
        <w:pStyle w:val="2"/>
        <w:keepNext w:val="0"/>
        <w:keepLines w:val="0"/>
        <w:pageBreakBefore w:val="0"/>
        <w:widowControl/>
        <w:numPr>
          <w:ilvl w:val="0"/>
          <w:numId w:val="7"/>
        </w:numPr>
        <w:kinsoku/>
        <w:wordWrap/>
        <w:overflowPunct/>
        <w:topLinePunct w:val="0"/>
        <w:autoSpaceDE/>
        <w:autoSpaceDN/>
        <w:bidi w:val="0"/>
        <w:adjustRightInd/>
        <w:snapToGrid/>
        <w:spacing w:line="480" w:lineRule="exact"/>
        <w:ind w:left="0" w:leftChars="0" w:firstLine="0" w:firstLineChars="0"/>
        <w:textAlignment w:val="auto"/>
        <w:rPr>
          <w:rFonts w:hint="eastAsia" w:ascii="仿宋" w:hAnsi="仿宋" w:eastAsia="仿宋" w:cstheme="minorBidi"/>
          <w:b/>
          <w:bCs w:val="0"/>
          <w:color w:val="4A66AC" w:themeColor="accent1"/>
          <w:kern w:val="2"/>
          <w:sz w:val="30"/>
          <w:szCs w:val="30"/>
          <w:lang w:val="en-US" w:eastAsia="zh-CN" w:bidi="ar-SA"/>
          <w14:textFill>
            <w14:solidFill>
              <w14:schemeClr w14:val="accent1"/>
            </w14:solidFill>
          </w14:textFill>
        </w:rPr>
      </w:pPr>
      <w:r>
        <w:rPr>
          <w:rFonts w:hint="eastAsia" w:ascii="仿宋" w:hAnsi="仿宋" w:eastAsia="仿宋" w:cstheme="minorBidi"/>
          <w:b/>
          <w:bCs w:val="0"/>
          <w:color w:val="4A66AC" w:themeColor="accent1"/>
          <w:kern w:val="2"/>
          <w:sz w:val="30"/>
          <w:szCs w:val="30"/>
          <w:lang w:val="en-US" w:eastAsia="zh-CN" w:bidi="ar-SA"/>
          <w14:textFill>
            <w14:solidFill>
              <w14:schemeClr w14:val="accent1"/>
            </w14:solidFill>
          </w14:textFill>
        </w:rPr>
        <w:t>【类案基本事实概括】</w:t>
      </w:r>
    </w:p>
    <w:p w14:paraId="5C7A88C8">
      <w:pPr>
        <w:pStyle w:val="2"/>
        <w:keepNext w:val="0"/>
        <w:keepLines w:val="0"/>
        <w:pageBreakBefore w:val="0"/>
        <w:widowControl/>
        <w:kinsoku/>
        <w:wordWrap/>
        <w:overflowPunct/>
        <w:topLinePunct w:val="0"/>
        <w:autoSpaceDE/>
        <w:autoSpaceDN/>
        <w:bidi w:val="0"/>
        <w:adjustRightInd/>
        <w:snapToGrid/>
        <w:spacing w:line="480" w:lineRule="exact"/>
        <w:ind w:firstLine="482" w:firstLineChars="200"/>
        <w:textAlignment w:val="auto"/>
        <w:rPr>
          <w:rFonts w:hint="eastAsia" w:ascii="仿宋" w:hAnsi="仿宋" w:eastAsia="仿宋" w:cstheme="minorBidi"/>
          <w:b/>
          <w:bCs w:val="0"/>
          <w:color w:val="4A66AC" w:themeColor="accent1"/>
          <w:kern w:val="2"/>
          <w:sz w:val="24"/>
          <w:szCs w:val="24"/>
          <w:lang w:val="en-US" w:eastAsia="zh-CN" w:bidi="ar-SA"/>
          <w14:textFill>
            <w14:solidFill>
              <w14:schemeClr w14:val="accent1"/>
            </w14:solidFill>
          </w14:textFill>
        </w:rPr>
      </w:pPr>
      <w:r>
        <w:rPr>
          <w:rFonts w:hint="eastAsia" w:ascii="仿宋" w:hAnsi="仿宋" w:eastAsia="仿宋" w:cstheme="minorBidi"/>
          <w:b/>
          <w:bCs w:val="0"/>
          <w:color w:val="4A66AC" w:themeColor="accent1"/>
          <w:kern w:val="2"/>
          <w:sz w:val="24"/>
          <w:szCs w:val="24"/>
          <w:lang w:val="en-US" w:eastAsia="zh-CN" w:bidi="ar-SA"/>
          <w14:textFill>
            <w14:solidFill>
              <w14:schemeClr w14:val="accent1"/>
            </w14:solidFill>
          </w14:textFill>
        </w:rPr>
        <w:t>【写明检索方法：包括检索平台、检索关键词、检索法院、检索时间】</w:t>
      </w:r>
      <w:r>
        <w:rPr>
          <w:rFonts w:hint="eastAsia" w:ascii="仿宋" w:hAnsi="仿宋" w:eastAsia="仿宋" w:cstheme="minorBidi"/>
          <w:b w:val="0"/>
          <w:bCs w:val="0"/>
          <w:color w:val="auto"/>
          <w:kern w:val="2"/>
          <w:sz w:val="24"/>
          <w:szCs w:val="30"/>
          <w:u w:val="single"/>
          <w:lang w:val="en-US" w:eastAsia="zh-CN" w:bidi="ar-SA"/>
        </w:rPr>
        <w:t>本次检索于2025年2月8日开展，通过 Alpha、威科先行平台进行，检索地域以北京、西安为核心、上海为参考，其中北京、西安检索覆盖全公开年份，上海检索限定近五年范围。</w:t>
      </w:r>
    </w:p>
    <w:p w14:paraId="31999491">
      <w:pPr>
        <w:pStyle w:val="2"/>
        <w:keepNext w:val="0"/>
        <w:keepLines w:val="0"/>
        <w:pageBreakBefore w:val="0"/>
        <w:widowControl/>
        <w:kinsoku/>
        <w:wordWrap/>
        <w:overflowPunct/>
        <w:topLinePunct w:val="0"/>
        <w:autoSpaceDE/>
        <w:autoSpaceDN/>
        <w:bidi w:val="0"/>
        <w:adjustRightInd/>
        <w:snapToGrid/>
        <w:spacing w:line="480" w:lineRule="exact"/>
        <w:ind w:firstLine="482" w:firstLineChars="200"/>
        <w:textAlignment w:val="auto"/>
        <w:rPr>
          <w:rFonts w:hint="default" w:ascii="仿宋" w:hAnsi="仿宋" w:eastAsia="仿宋" w:cstheme="minorBidi"/>
          <w:b w:val="0"/>
          <w:bCs w:val="0"/>
          <w:color w:val="auto"/>
          <w:kern w:val="2"/>
          <w:sz w:val="24"/>
          <w:szCs w:val="30"/>
          <w:lang w:val="en-US" w:eastAsia="zh-CN" w:bidi="ar-SA"/>
        </w:rPr>
      </w:pPr>
      <w:r>
        <w:rPr>
          <w:rFonts w:hint="eastAsia" w:ascii="仿宋" w:hAnsi="仿宋" w:eastAsia="仿宋" w:cstheme="minorBidi"/>
          <w:b/>
          <w:bCs w:val="0"/>
          <w:color w:val="4A66AC" w:themeColor="accent1"/>
          <w:kern w:val="2"/>
          <w:sz w:val="24"/>
          <w:szCs w:val="24"/>
          <w:lang w:val="en-US" w:eastAsia="zh-CN" w:bidi="ar-SA"/>
          <w14:textFill>
            <w14:solidFill>
              <w14:schemeClr w14:val="accent1"/>
            </w14:solidFill>
          </w14:textFill>
        </w:rPr>
        <w:t>【总结类案检索情况】</w:t>
      </w:r>
      <w:r>
        <w:rPr>
          <w:rFonts w:hint="eastAsia" w:ascii="仿宋" w:hAnsi="仿宋" w:eastAsia="仿宋" w:cstheme="minorBidi"/>
          <w:b w:val="0"/>
          <w:bCs w:val="0"/>
          <w:color w:val="auto"/>
          <w:kern w:val="2"/>
          <w:sz w:val="24"/>
          <w:szCs w:val="30"/>
          <w:lang w:val="en-US" w:eastAsia="zh-CN" w:bidi="ar-SA"/>
        </w:rPr>
        <w:t>以 “相邻采光” “排除妨害”“日光分析报告” 为关键词，本次共检索得公开判例180件（部分判例涉较早公开年份）；与相邻采光日照纠纷有关的判例计152件，相关裁判结果如下：判决驳回诉请 93 件，占比 62%；判决认定构成侵权并判令赔偿/补偿51件，占比 34%；判决判令拆除相关设施19件，占比13%，另外有3件在判令拆除的基础上，同时判令侵权方另行承担赔偿责任。</w:t>
      </w:r>
      <w:r>
        <w:rPr>
          <w:rFonts w:hint="eastAsia" w:ascii="仿宋" w:hAnsi="仿宋" w:eastAsia="仿宋" w:cstheme="minorBidi"/>
          <w:b/>
          <w:bCs w:val="0"/>
          <w:color w:val="4A66AC" w:themeColor="accent1"/>
          <w:kern w:val="2"/>
          <w:sz w:val="24"/>
          <w:szCs w:val="24"/>
          <w:lang w:val="en-US" w:eastAsia="zh-CN" w:bidi="ar-SA"/>
          <w14:textFill>
            <w14:solidFill>
              <w14:schemeClr w14:val="accent1"/>
            </w14:solidFill>
          </w14:textFill>
        </w:rPr>
        <w:t>【要提及类案与本案直接的关联性】</w:t>
      </w:r>
      <w:r>
        <w:rPr>
          <w:rFonts w:hint="eastAsia" w:ascii="仿宋" w:hAnsi="仿宋" w:eastAsia="仿宋" w:cstheme="minorBidi"/>
          <w:b w:val="0"/>
          <w:bCs w:val="0"/>
          <w:color w:val="auto"/>
          <w:kern w:val="2"/>
          <w:sz w:val="24"/>
          <w:szCs w:val="30"/>
          <w:lang w:val="en-US" w:eastAsia="zh-CN" w:bidi="ar-SA"/>
        </w:rPr>
        <w:t>不涉及大型商业综合体的拆除。</w:t>
      </w:r>
    </w:p>
    <w:p w14:paraId="26AC88E8">
      <w:pPr>
        <w:pStyle w:val="2"/>
        <w:keepNext w:val="0"/>
        <w:keepLines w:val="0"/>
        <w:pageBreakBefore w:val="0"/>
        <w:widowControl/>
        <w:numPr>
          <w:ilvl w:val="0"/>
          <w:numId w:val="7"/>
        </w:numPr>
        <w:kinsoku/>
        <w:wordWrap/>
        <w:overflowPunct/>
        <w:topLinePunct w:val="0"/>
        <w:autoSpaceDE/>
        <w:autoSpaceDN/>
        <w:bidi w:val="0"/>
        <w:adjustRightInd/>
        <w:snapToGrid/>
        <w:spacing w:line="480" w:lineRule="exact"/>
        <w:ind w:left="0" w:leftChars="0" w:firstLine="0" w:firstLineChars="0"/>
        <w:textAlignment w:val="auto"/>
        <w:rPr>
          <w:rFonts w:hint="eastAsia" w:ascii="仿宋" w:hAnsi="仿宋" w:eastAsia="仿宋" w:cstheme="minorBidi"/>
          <w:b/>
          <w:bCs w:val="0"/>
          <w:color w:val="4A66AC" w:themeColor="accent1"/>
          <w:kern w:val="2"/>
          <w:sz w:val="30"/>
          <w:szCs w:val="30"/>
          <w:lang w:val="en-US" w:eastAsia="zh-CN" w:bidi="ar-SA"/>
          <w14:textFill>
            <w14:solidFill>
              <w14:schemeClr w14:val="accent1"/>
            </w14:solidFill>
          </w14:textFill>
        </w:rPr>
      </w:pPr>
      <w:r>
        <w:rPr>
          <w:rFonts w:hint="eastAsia" w:ascii="仿宋" w:hAnsi="仿宋" w:eastAsia="仿宋" w:cstheme="minorBidi"/>
          <w:b/>
          <w:bCs w:val="0"/>
          <w:color w:val="4A66AC" w:themeColor="accent1"/>
          <w:kern w:val="2"/>
          <w:sz w:val="30"/>
          <w:szCs w:val="30"/>
          <w:lang w:val="en-US" w:eastAsia="zh-CN" w:bidi="ar-SA"/>
          <w14:textFill>
            <w14:solidFill>
              <w14:schemeClr w14:val="accent1"/>
            </w14:solidFill>
          </w14:textFill>
        </w:rPr>
        <w:t>【类案检索裁判要点</w:t>
      </w:r>
      <w:r>
        <w:rPr>
          <w:rFonts w:hint="eastAsia" w:ascii="仿宋" w:hAnsi="仿宋" w:eastAsia="仿宋" w:cstheme="minorBidi"/>
          <w:b/>
          <w:bCs w:val="0"/>
          <w:color w:val="4A66AC" w:themeColor="accent1"/>
          <w:kern w:val="2"/>
          <w:sz w:val="30"/>
          <w:szCs w:val="30"/>
          <w:lang w:val="en-US" w:eastAsia="zh-CN" w:bidi="ar-SA"/>
          <w14:textFill>
            <w14:solidFill>
              <w14:schemeClr w14:val="accent1"/>
            </w14:solidFill>
          </w14:textFill>
        </w:rPr>
        <w:t>】</w:t>
      </w:r>
    </w:p>
    <w:p w14:paraId="3DF1781A">
      <w:pPr>
        <w:spacing w:before="156" w:beforeLines="50" w:after="156" w:afterLines="50" w:line="480" w:lineRule="exact"/>
        <w:ind w:firstLine="482" w:firstLineChars="200"/>
        <w:rPr>
          <w:rFonts w:hint="eastAsia" w:ascii="仿宋" w:hAnsi="仿宋" w:eastAsia="仿宋" w:cstheme="minorBidi"/>
          <w:b/>
          <w:bCs w:val="0"/>
          <w:color w:val="4A66AC" w:themeColor="accent1"/>
          <w:kern w:val="2"/>
          <w:sz w:val="24"/>
          <w:szCs w:val="24"/>
          <w:lang w:val="en-US" w:eastAsia="zh-CN" w:bidi="ar-SA"/>
          <w14:textFill>
            <w14:solidFill>
              <w14:schemeClr w14:val="accent1"/>
            </w14:solidFill>
          </w14:textFill>
        </w:rPr>
      </w:pPr>
      <w:r>
        <w:rPr>
          <w:rFonts w:hint="eastAsia" w:ascii="仿宋" w:hAnsi="仿宋" w:eastAsia="仿宋"/>
          <w:b/>
          <w:bCs/>
          <w:color w:val="auto"/>
          <w:sz w:val="24"/>
          <w:szCs w:val="30"/>
          <w:u w:val="none"/>
          <w:lang w:val="en-US" w:eastAsia="zh-CN"/>
        </w:rPr>
        <w:t>参照《〈最高人民法院关于案例指导工作的规定》实施细则》第三条的规定，本报告将检索的与待决案件相关的</w:t>
      </w:r>
      <w:r>
        <w:rPr>
          <w:rFonts w:hint="eastAsia" w:ascii="仿宋" w:hAnsi="仿宋" w:eastAsia="仿宋"/>
          <w:b/>
          <w:bCs/>
          <w:color w:val="C00000"/>
          <w:sz w:val="24"/>
          <w:szCs w:val="30"/>
          <w:u w:val="none"/>
          <w:lang w:val="en-US" w:eastAsia="zh-CN"/>
        </w:rPr>
        <w:t>类案案号、案由、审理法院、裁判要点与理由</w:t>
      </w:r>
      <w:r>
        <w:rPr>
          <w:rFonts w:hint="eastAsia" w:ascii="仿宋" w:hAnsi="仿宋" w:eastAsia="仿宋" w:cstheme="minorBidi"/>
          <w:b/>
          <w:bCs w:val="0"/>
          <w:color w:val="4A66AC" w:themeColor="accent1"/>
          <w:kern w:val="2"/>
          <w:sz w:val="24"/>
          <w:szCs w:val="24"/>
          <w:lang w:val="en-US" w:eastAsia="zh-CN" w:bidi="ar-SA"/>
          <w14:textFill>
            <w14:solidFill>
              <w14:schemeClr w14:val="accent1"/>
            </w14:solidFill>
          </w14:textFill>
        </w:rPr>
        <w:t>【这个板块可以根据是否可以根据律师需求进行定制】</w:t>
      </w:r>
      <w:r>
        <w:rPr>
          <w:rFonts w:hint="eastAsia" w:ascii="仿宋" w:hAnsi="仿宋" w:eastAsia="仿宋"/>
          <w:b/>
          <w:bCs/>
          <w:color w:val="auto"/>
          <w:sz w:val="24"/>
          <w:szCs w:val="30"/>
          <w:u w:val="none"/>
          <w:lang w:val="en-US" w:eastAsia="zh-CN"/>
        </w:rPr>
        <w:t>等内容，以</w:t>
      </w:r>
      <w:r>
        <w:rPr>
          <w:rFonts w:hint="eastAsia" w:ascii="仿宋" w:hAnsi="仿宋" w:eastAsia="仿宋"/>
          <w:b/>
          <w:bCs/>
          <w:color w:val="C00000"/>
          <w:sz w:val="24"/>
          <w:szCs w:val="30"/>
          <w:u w:val="none"/>
          <w:lang w:val="en-US" w:eastAsia="zh-CN"/>
        </w:rPr>
        <w:t>表格的形式</w:t>
      </w:r>
      <w:r>
        <w:rPr>
          <w:rFonts w:hint="eastAsia" w:ascii="仿宋" w:hAnsi="仿宋" w:eastAsia="仿宋"/>
          <w:b/>
          <w:bCs/>
          <w:color w:val="auto"/>
          <w:sz w:val="24"/>
          <w:szCs w:val="30"/>
          <w:u w:val="none"/>
          <w:lang w:val="en-US" w:eastAsia="zh-CN"/>
        </w:rPr>
        <w:t>摘录如下，并将类案裁判文书作为附件供贵院在裁判待决案件时参考。</w:t>
      </w:r>
      <w:r>
        <w:rPr>
          <w:rFonts w:hint="eastAsia" w:ascii="仿宋" w:hAnsi="仿宋" w:eastAsia="仿宋" w:cstheme="minorBidi"/>
          <w:b/>
          <w:bCs w:val="0"/>
          <w:color w:val="4A66AC" w:themeColor="accent1"/>
          <w:kern w:val="2"/>
          <w:sz w:val="24"/>
          <w:szCs w:val="24"/>
          <w:lang w:val="en-US" w:eastAsia="zh-CN" w:bidi="ar-SA"/>
          <w14:textFill>
            <w14:solidFill>
              <w14:schemeClr w14:val="accent1"/>
            </w14:solidFill>
          </w14:textFill>
        </w:rPr>
        <w:t>【分类方式按照不同观点进行区分】</w:t>
      </w:r>
    </w:p>
    <w:p w14:paraId="166B480A">
      <w:pPr>
        <w:spacing w:before="156" w:beforeLines="50" w:after="156" w:afterLines="50" w:line="480" w:lineRule="exact"/>
        <w:ind w:firstLine="482" w:firstLineChars="200"/>
        <w:rPr>
          <w:rFonts w:hint="eastAsia" w:ascii="仿宋" w:hAnsi="仿宋" w:eastAsia="仿宋" w:cstheme="minorBidi"/>
          <w:b/>
          <w:bCs w:val="0"/>
          <w:color w:val="4A66AC" w:themeColor="accent1"/>
          <w:kern w:val="2"/>
          <w:sz w:val="24"/>
          <w:szCs w:val="24"/>
          <w:lang w:val="en-US" w:eastAsia="zh-CN" w:bidi="ar-SA"/>
          <w14:textFill>
            <w14:solidFill>
              <w14:schemeClr w14:val="accent1"/>
            </w14:solidFill>
          </w14:textFill>
        </w:rPr>
      </w:pPr>
      <w:r>
        <w:rPr>
          <w:rFonts w:hint="eastAsia" w:ascii="仿宋" w:hAnsi="仿宋" w:eastAsia="仿宋" w:cstheme="minorBidi"/>
          <w:b/>
          <w:bCs w:val="0"/>
          <w:color w:val="4A66AC" w:themeColor="accent1"/>
          <w:kern w:val="2"/>
          <w:sz w:val="24"/>
          <w:szCs w:val="24"/>
          <w:lang w:val="en-US" w:eastAsia="zh-CN" w:bidi="ar-SA"/>
          <w14:textFill>
            <w14:solidFill>
              <w14:schemeClr w14:val="accent1"/>
            </w14:solidFill>
          </w14:textFill>
        </w:rPr>
        <w:t>【进行观点总结】观点一：即使合同无效，在合同明确约定造价管理部门调整价格属于工程价格调整范围的情况下，人工费应当依约予以调整。</w:t>
      </w:r>
    </w:p>
    <w:p w14:paraId="504DA228">
      <w:pPr>
        <w:spacing w:before="156" w:beforeLines="50" w:after="156" w:afterLines="50" w:line="480" w:lineRule="exact"/>
        <w:ind w:firstLine="482" w:firstLineChars="200"/>
        <w:rPr>
          <w:rFonts w:hint="default" w:ascii="仿宋" w:hAnsi="仿宋" w:eastAsia="仿宋" w:cstheme="minorBidi"/>
          <w:b/>
          <w:bCs w:val="0"/>
          <w:color w:val="4A66AC" w:themeColor="accent1"/>
          <w:kern w:val="2"/>
          <w:sz w:val="24"/>
          <w:szCs w:val="24"/>
          <w:lang w:val="en-US" w:eastAsia="zh-CN" w:bidi="ar-SA"/>
          <w14:textFill>
            <w14:solidFill>
              <w14:schemeClr w14:val="accent1"/>
            </w14:solidFill>
          </w14:textFill>
        </w:rPr>
      </w:pPr>
      <w:r>
        <w:rPr>
          <w:rFonts w:hint="default" w:ascii="仿宋" w:hAnsi="仿宋" w:eastAsia="仿宋" w:cstheme="minorBidi"/>
          <w:b/>
          <w:bCs w:val="0"/>
          <w:color w:val="4A66AC" w:themeColor="accent1"/>
          <w:kern w:val="2"/>
          <w:sz w:val="24"/>
          <w:szCs w:val="24"/>
          <w:lang w:val="en-US" w:eastAsia="zh-CN" w:bidi="ar-SA"/>
          <w14:textFill>
            <w14:solidFill>
              <w14:schemeClr w14:val="accent1"/>
            </w14:solidFill>
          </w14:textFill>
        </w:rPr>
        <w:drawing>
          <wp:anchor distT="0" distB="0" distL="114300" distR="114300" simplePos="0" relativeHeight="251659264" behindDoc="0" locked="0" layoutInCell="1" allowOverlap="1">
            <wp:simplePos x="0" y="0"/>
            <wp:positionH relativeFrom="column">
              <wp:posOffset>215900</wp:posOffset>
            </wp:positionH>
            <wp:positionV relativeFrom="page">
              <wp:posOffset>5299710</wp:posOffset>
            </wp:positionV>
            <wp:extent cx="4846955" cy="2599055"/>
            <wp:effectExtent l="0" t="0" r="4445" b="4445"/>
            <wp:wrapTopAndBottom/>
            <wp:docPr id="2" name="图片 2" descr="微信图片_20260409203745_84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409203745_841_1"/>
                    <pic:cNvPicPr>
                      <a:picLocks noChangeAspect="1"/>
                    </pic:cNvPicPr>
                  </pic:nvPicPr>
                  <pic:blipFill>
                    <a:blip r:embed="rId8"/>
                    <a:srcRect t="5529" b="54272"/>
                    <a:stretch>
                      <a:fillRect/>
                    </a:stretch>
                  </pic:blipFill>
                  <pic:spPr>
                    <a:xfrm>
                      <a:off x="0" y="0"/>
                      <a:ext cx="4846955" cy="2599055"/>
                    </a:xfrm>
                    <a:prstGeom prst="rect">
                      <a:avLst/>
                    </a:prstGeom>
                  </pic:spPr>
                </pic:pic>
              </a:graphicData>
            </a:graphic>
          </wp:anchor>
        </w:drawing>
      </w:r>
      <w:r>
        <w:rPr>
          <w:rFonts w:hint="eastAsia" w:ascii="仿宋" w:hAnsi="仿宋" w:eastAsia="仿宋" w:cstheme="minorBidi"/>
          <w:b/>
          <w:bCs w:val="0"/>
          <w:color w:val="4A66AC" w:themeColor="accent1"/>
          <w:kern w:val="2"/>
          <w:sz w:val="24"/>
          <w:szCs w:val="24"/>
          <w:lang w:val="en-US" w:eastAsia="zh-CN" w:bidi="ar-SA"/>
          <w14:textFill>
            <w14:solidFill>
              <w14:schemeClr w14:val="accent1"/>
            </w14:solidFill>
          </w14:textFill>
        </w:rPr>
        <w:t>【表格】</w:t>
      </w:r>
    </w:p>
    <w:p w14:paraId="770DEC2F">
      <w:pPr>
        <w:spacing w:before="156" w:beforeLines="50" w:after="156" w:afterLines="50" w:line="480" w:lineRule="exact"/>
        <w:ind w:firstLine="482" w:firstLineChars="200"/>
        <w:rPr>
          <w:rFonts w:hint="eastAsia"/>
        </w:rPr>
      </w:pPr>
      <w:r>
        <w:rPr>
          <w:rFonts w:hint="eastAsia" w:ascii="仿宋" w:hAnsi="仿宋" w:eastAsia="仿宋" w:cstheme="minorBidi"/>
          <w:b/>
          <w:bCs w:val="0"/>
          <w:color w:val="4A66AC" w:themeColor="accent1"/>
          <w:kern w:val="2"/>
          <w:sz w:val="24"/>
          <w:szCs w:val="24"/>
          <w:lang w:val="en-US" w:eastAsia="zh-CN" w:bidi="ar-SA"/>
          <w14:textFill>
            <w14:solidFill>
              <w14:schemeClr w14:val="accent1"/>
            </w14:solidFill>
          </w14:textFill>
        </w:rPr>
        <w:t>观点二：合同通用条款约定人工费按照建设管理部门等发布的人工成本信息进行调整的，人工费应予调整。</w:t>
      </w:r>
    </w:p>
    <w:p w14:paraId="69C017BE">
      <w:pPr>
        <w:spacing w:before="156" w:beforeLines="50" w:after="156" w:afterLines="50" w:line="480" w:lineRule="exact"/>
        <w:ind w:firstLine="482" w:firstLineChars="200"/>
        <w:rPr>
          <w:rFonts w:hint="eastAsia" w:ascii="仿宋" w:hAnsi="仿宋" w:eastAsia="仿宋" w:cstheme="minorBidi"/>
          <w:b/>
          <w:bCs w:val="0"/>
          <w:color w:val="4A66AC" w:themeColor="accent1"/>
          <w:kern w:val="2"/>
          <w:sz w:val="24"/>
          <w:szCs w:val="24"/>
          <w:lang w:val="en-US" w:eastAsia="zh-CN" w:bidi="ar-SA"/>
          <w14:textFill>
            <w14:solidFill>
              <w14:schemeClr w14:val="accent1"/>
            </w14:solidFill>
          </w14:textFill>
        </w:rPr>
      </w:pPr>
      <w:r>
        <w:rPr>
          <w:rFonts w:hint="eastAsia" w:ascii="仿宋" w:hAnsi="仿宋" w:eastAsia="仿宋" w:cstheme="minorBidi"/>
          <w:b/>
          <w:bCs w:val="0"/>
          <w:color w:val="4A66AC" w:themeColor="accent1"/>
          <w:kern w:val="2"/>
          <w:sz w:val="24"/>
          <w:szCs w:val="24"/>
          <w:lang w:val="en-US" w:eastAsia="zh-CN" w:bidi="ar-SA"/>
          <w14:textFill>
            <w14:solidFill>
              <w14:schemeClr w14:val="accent1"/>
            </w14:solidFill>
          </w14:textFill>
        </w:rPr>
        <w:t>【表格】</w:t>
      </w:r>
    </w:p>
    <w:p w14:paraId="4A15B501">
      <w:pPr>
        <w:pStyle w:val="2"/>
        <w:keepNext w:val="0"/>
        <w:keepLines w:val="0"/>
        <w:pageBreakBefore w:val="0"/>
        <w:widowControl/>
        <w:numPr>
          <w:ilvl w:val="0"/>
          <w:numId w:val="7"/>
        </w:numPr>
        <w:kinsoku/>
        <w:wordWrap/>
        <w:overflowPunct/>
        <w:topLinePunct w:val="0"/>
        <w:autoSpaceDE/>
        <w:autoSpaceDN/>
        <w:bidi w:val="0"/>
        <w:adjustRightInd/>
        <w:snapToGrid/>
        <w:spacing w:line="480" w:lineRule="exact"/>
        <w:ind w:left="0" w:leftChars="0" w:firstLine="0" w:firstLineChars="0"/>
        <w:textAlignment w:val="auto"/>
        <w:rPr>
          <w:rFonts w:hint="eastAsia" w:ascii="仿宋" w:hAnsi="仿宋" w:eastAsia="仿宋" w:cstheme="minorBidi"/>
          <w:b/>
          <w:bCs w:val="0"/>
          <w:color w:val="4A66AC" w:themeColor="accent1"/>
          <w:kern w:val="2"/>
          <w:sz w:val="30"/>
          <w:szCs w:val="30"/>
          <w:lang w:val="en-US" w:eastAsia="zh-CN" w:bidi="ar-SA"/>
          <w14:textFill>
            <w14:solidFill>
              <w14:schemeClr w14:val="accent1"/>
            </w14:solidFill>
          </w14:textFill>
        </w:rPr>
      </w:pPr>
      <w:r>
        <w:rPr>
          <w:rFonts w:hint="eastAsia" w:ascii="仿宋" w:hAnsi="仿宋" w:eastAsia="仿宋" w:cstheme="minorBidi"/>
          <w:b/>
          <w:bCs w:val="0"/>
          <w:color w:val="4A66AC" w:themeColor="accent1"/>
          <w:kern w:val="2"/>
          <w:sz w:val="30"/>
          <w:szCs w:val="30"/>
          <w:lang w:val="en-US" w:eastAsia="zh-CN" w:bidi="ar-SA"/>
          <w14:textFill>
            <w14:solidFill>
              <w14:schemeClr w14:val="accent1"/>
            </w14:solidFill>
          </w14:textFill>
        </w:rPr>
        <w:t>【</w:t>
      </w:r>
      <w:r>
        <w:rPr>
          <w:rFonts w:hint="eastAsia" w:ascii="仿宋" w:hAnsi="仿宋" w:cstheme="minorBidi"/>
          <w:b/>
          <w:bCs w:val="0"/>
          <w:color w:val="4A66AC" w:themeColor="accent1"/>
          <w:kern w:val="2"/>
          <w:sz w:val="30"/>
          <w:szCs w:val="30"/>
          <w:lang w:val="en-US" w:eastAsia="zh-CN" w:bidi="ar-SA"/>
          <w14:textFill>
            <w14:solidFill>
              <w14:schemeClr w14:val="accent1"/>
            </w14:solidFill>
          </w14:textFill>
        </w:rPr>
        <w:t>相关法律法规原文：法律、司法解释</w:t>
      </w:r>
      <w:r>
        <w:rPr>
          <w:rFonts w:hint="eastAsia" w:ascii="仿宋" w:hAnsi="仿宋" w:eastAsia="仿宋" w:cstheme="minorBidi"/>
          <w:b/>
          <w:bCs w:val="0"/>
          <w:color w:val="4A66AC" w:themeColor="accent1"/>
          <w:kern w:val="2"/>
          <w:sz w:val="30"/>
          <w:szCs w:val="30"/>
          <w:lang w:val="en-US" w:eastAsia="zh-CN" w:bidi="ar-SA"/>
          <w14:textFill>
            <w14:solidFill>
              <w14:schemeClr w14:val="accent1"/>
            </w14:solidFill>
          </w14:textFill>
        </w:rPr>
        <w:t>】</w:t>
      </w:r>
    </w:p>
    <w:p w14:paraId="0C3AB0A0">
      <w:pPr>
        <w:spacing w:before="156" w:beforeLines="50" w:after="156" w:afterLines="50" w:line="240" w:lineRule="auto"/>
        <w:ind w:firstLine="482" w:firstLineChars="200"/>
        <w:rPr>
          <w:rFonts w:hint="default" w:ascii="仿宋" w:hAnsi="仿宋" w:eastAsia="仿宋" w:cstheme="minorBidi"/>
          <w:b/>
          <w:bCs w:val="0"/>
          <w:color w:val="4A66AC" w:themeColor="accent1"/>
          <w:kern w:val="2"/>
          <w:sz w:val="24"/>
          <w:szCs w:val="24"/>
          <w:lang w:val="en-US" w:eastAsia="zh-CN" w:bidi="ar-SA"/>
          <w14:textFill>
            <w14:solidFill>
              <w14:schemeClr w14:val="accent1"/>
            </w14:solidFill>
          </w14:textFill>
        </w:rPr>
      </w:pPr>
    </w:p>
    <w:p w14:paraId="7BDB2558">
      <w:pPr>
        <w:keepNext w:val="0"/>
        <w:keepLines w:val="0"/>
        <w:pageBreakBefore w:val="0"/>
        <w:widowControl w:val="0"/>
        <w:kinsoku/>
        <w:wordWrap/>
        <w:overflowPunct/>
        <w:topLinePunct w:val="0"/>
        <w:autoSpaceDE/>
        <w:autoSpaceDN/>
        <w:bidi w:val="0"/>
        <w:adjustRightInd/>
        <w:snapToGrid/>
        <w:spacing w:before="468" w:beforeLines="150" w:line="480" w:lineRule="exact"/>
        <w:ind w:firstLine="482" w:firstLineChars="200"/>
        <w:textAlignment w:val="auto"/>
        <w:rPr>
          <w:rFonts w:ascii="仿宋" w:hAnsi="仿宋" w:eastAsia="仿宋"/>
          <w:bCs/>
          <w:color w:val="auto"/>
          <w:sz w:val="24"/>
          <w:szCs w:val="24"/>
        </w:rPr>
      </w:pPr>
      <w:r>
        <w:rPr>
          <w:rStyle w:val="35"/>
          <w:rFonts w:hint="eastAsia"/>
          <w:color w:val="auto"/>
          <w:sz w:val="24"/>
          <w:szCs w:val="24"/>
        </w:rPr>
        <w:t>1、《建工司法解释（一）》第二十六条：</w:t>
      </w:r>
      <w:r>
        <w:rPr>
          <w:rFonts w:hint="eastAsia" w:ascii="仿宋" w:hAnsi="仿宋" w:eastAsia="仿宋"/>
          <w:bCs/>
          <w:color w:val="auto"/>
          <w:sz w:val="24"/>
          <w:szCs w:val="24"/>
        </w:rPr>
        <w:t>“当事人对欠付工程价款利息计付标准有约定的，按照约定处理。没有约定的，按照同期同类贷款利率或者同期贷款市场报价利率计息。”</w:t>
      </w:r>
    </w:p>
    <w:p w14:paraId="133D8F43">
      <w:pPr>
        <w:keepNext w:val="0"/>
        <w:keepLines w:val="0"/>
        <w:pageBreakBefore w:val="0"/>
        <w:widowControl w:val="0"/>
        <w:kinsoku/>
        <w:wordWrap/>
        <w:overflowPunct/>
        <w:topLinePunct w:val="0"/>
        <w:autoSpaceDE/>
        <w:autoSpaceDN/>
        <w:bidi w:val="0"/>
        <w:adjustRightInd/>
        <w:snapToGrid/>
        <w:spacing w:line="480" w:lineRule="exact"/>
        <w:ind w:firstLine="482" w:firstLineChars="200"/>
        <w:textAlignment w:val="auto"/>
        <w:rPr>
          <w:rFonts w:ascii="仿宋" w:hAnsi="仿宋" w:eastAsia="仿宋"/>
          <w:bCs/>
          <w:color w:val="auto"/>
          <w:sz w:val="24"/>
          <w:szCs w:val="24"/>
        </w:rPr>
      </w:pPr>
      <w:r>
        <w:rPr>
          <w:rStyle w:val="35"/>
          <w:rFonts w:hint="eastAsia"/>
          <w:color w:val="auto"/>
          <w:sz w:val="24"/>
          <w:szCs w:val="24"/>
        </w:rPr>
        <w:t>2、《建工司法解释（一）》第二十七条：</w:t>
      </w:r>
      <w:r>
        <w:rPr>
          <w:rFonts w:hint="eastAsia" w:ascii="仿宋" w:hAnsi="仿宋" w:eastAsia="仿宋"/>
          <w:bCs/>
          <w:color w:val="auto"/>
          <w:sz w:val="24"/>
          <w:szCs w:val="24"/>
        </w:rPr>
        <w:t>“利息从应付工程价款之日开始计付。当事人对付款时间没有约定或者约定不明的，下列时间视为应付款时间：</w:t>
      </w:r>
    </w:p>
    <w:p w14:paraId="11A76D34">
      <w:pPr>
        <w:keepNext w:val="0"/>
        <w:keepLines w:val="0"/>
        <w:pageBreakBefore w:val="0"/>
        <w:widowControl w:val="0"/>
        <w:kinsoku/>
        <w:wordWrap/>
        <w:overflowPunct/>
        <w:topLinePunct w:val="0"/>
        <w:autoSpaceDE/>
        <w:autoSpaceDN/>
        <w:bidi w:val="0"/>
        <w:adjustRightInd/>
        <w:snapToGrid/>
        <w:spacing w:before="156" w:beforeLines="50" w:line="480" w:lineRule="exact"/>
        <w:ind w:firstLine="960" w:firstLineChars="400"/>
        <w:textAlignment w:val="auto"/>
        <w:rPr>
          <w:rFonts w:ascii="仿宋" w:hAnsi="仿宋" w:eastAsia="仿宋"/>
          <w:bCs/>
          <w:color w:val="auto"/>
          <w:sz w:val="24"/>
          <w:szCs w:val="24"/>
        </w:rPr>
      </w:pPr>
      <w:r>
        <w:rPr>
          <w:rFonts w:hint="eastAsia" w:ascii="仿宋" w:hAnsi="仿宋" w:eastAsia="仿宋"/>
          <w:bCs/>
          <w:color w:val="auto"/>
          <w:sz w:val="24"/>
          <w:szCs w:val="24"/>
        </w:rPr>
        <w:t>（一）建设工程已实际交付的，为交付之日；</w:t>
      </w:r>
    </w:p>
    <w:p w14:paraId="4806005E">
      <w:pPr>
        <w:keepNext w:val="0"/>
        <w:keepLines w:val="0"/>
        <w:pageBreakBefore w:val="0"/>
        <w:widowControl w:val="0"/>
        <w:kinsoku/>
        <w:wordWrap/>
        <w:overflowPunct/>
        <w:topLinePunct w:val="0"/>
        <w:autoSpaceDE/>
        <w:autoSpaceDN/>
        <w:bidi w:val="0"/>
        <w:adjustRightInd/>
        <w:snapToGrid/>
        <w:spacing w:before="156" w:beforeLines="50" w:line="480" w:lineRule="exact"/>
        <w:ind w:firstLine="960" w:firstLineChars="400"/>
        <w:textAlignment w:val="auto"/>
        <w:rPr>
          <w:rFonts w:ascii="仿宋" w:hAnsi="仿宋" w:eastAsia="仿宋"/>
          <w:bCs/>
          <w:color w:val="auto"/>
          <w:sz w:val="24"/>
          <w:szCs w:val="24"/>
        </w:rPr>
      </w:pPr>
      <w:r>
        <w:rPr>
          <w:rFonts w:hint="eastAsia" w:ascii="仿宋" w:hAnsi="仿宋" w:eastAsia="仿宋"/>
          <w:bCs/>
          <w:color w:val="auto"/>
          <w:sz w:val="24"/>
          <w:szCs w:val="24"/>
        </w:rPr>
        <w:t>（二）建设工程没有交付的，为提交竣工结算文件之日；</w:t>
      </w:r>
    </w:p>
    <w:p w14:paraId="2FFAC200">
      <w:pPr>
        <w:keepNext w:val="0"/>
        <w:keepLines w:val="0"/>
        <w:pageBreakBefore w:val="0"/>
        <w:widowControl w:val="0"/>
        <w:kinsoku/>
        <w:wordWrap/>
        <w:overflowPunct/>
        <w:topLinePunct w:val="0"/>
        <w:autoSpaceDE/>
        <w:autoSpaceDN/>
        <w:bidi w:val="0"/>
        <w:adjustRightInd/>
        <w:snapToGrid/>
        <w:spacing w:before="156" w:beforeLines="50" w:line="480" w:lineRule="exact"/>
        <w:ind w:firstLine="960" w:firstLineChars="400"/>
        <w:textAlignment w:val="auto"/>
        <w:rPr>
          <w:rFonts w:ascii="仿宋" w:hAnsi="仿宋" w:eastAsia="仿宋"/>
          <w:bCs/>
          <w:color w:val="auto"/>
          <w:sz w:val="24"/>
          <w:szCs w:val="24"/>
        </w:rPr>
      </w:pPr>
      <w:r>
        <w:rPr>
          <w:rFonts w:hint="eastAsia" w:ascii="仿宋" w:hAnsi="仿宋" w:eastAsia="仿宋"/>
          <w:bCs/>
          <w:color w:val="auto"/>
          <w:sz w:val="24"/>
          <w:szCs w:val="24"/>
        </w:rPr>
        <w:t>（三）建设工程未交付，工程价款也未结算的，为当事人起诉之日。”</w:t>
      </w:r>
    </w:p>
    <w:p w14:paraId="12885165">
      <w:pPr>
        <w:pStyle w:val="2"/>
        <w:keepNext w:val="0"/>
        <w:keepLines w:val="0"/>
        <w:pageBreakBefore w:val="0"/>
        <w:widowControl/>
        <w:numPr>
          <w:ilvl w:val="0"/>
          <w:numId w:val="7"/>
        </w:numPr>
        <w:kinsoku/>
        <w:wordWrap/>
        <w:overflowPunct/>
        <w:topLinePunct w:val="0"/>
        <w:autoSpaceDE/>
        <w:autoSpaceDN/>
        <w:bidi w:val="0"/>
        <w:adjustRightInd/>
        <w:snapToGrid/>
        <w:spacing w:line="480" w:lineRule="exact"/>
        <w:ind w:left="0" w:leftChars="0" w:firstLine="0" w:firstLineChars="0"/>
        <w:textAlignment w:val="auto"/>
        <w:rPr>
          <w:rFonts w:hint="eastAsia" w:ascii="仿宋" w:hAnsi="仿宋" w:eastAsia="仿宋" w:cstheme="minorBidi"/>
          <w:b/>
          <w:bCs w:val="0"/>
          <w:color w:val="4A66AC" w:themeColor="accent1"/>
          <w:kern w:val="2"/>
          <w:sz w:val="30"/>
          <w:szCs w:val="30"/>
          <w:lang w:val="en-US" w:eastAsia="zh-CN" w:bidi="ar-SA"/>
          <w14:textFill>
            <w14:solidFill>
              <w14:schemeClr w14:val="accent1"/>
            </w14:solidFill>
          </w14:textFill>
        </w:rPr>
      </w:pPr>
      <w:r>
        <w:rPr>
          <w:rFonts w:hint="eastAsia" w:ascii="仿宋" w:hAnsi="仿宋" w:eastAsia="仿宋" w:cstheme="minorBidi"/>
          <w:b/>
          <w:bCs w:val="0"/>
          <w:color w:val="4A66AC" w:themeColor="accent1"/>
          <w:kern w:val="2"/>
          <w:sz w:val="30"/>
          <w:szCs w:val="30"/>
          <w:lang w:val="en-US" w:eastAsia="zh-CN" w:bidi="ar-SA"/>
          <w14:textFill>
            <w14:solidFill>
              <w14:schemeClr w14:val="accent1"/>
            </w14:solidFill>
          </w14:textFill>
        </w:rPr>
        <w:t>【</w:t>
      </w:r>
      <w:r>
        <w:rPr>
          <w:rFonts w:hint="eastAsia" w:ascii="仿宋" w:hAnsi="仿宋" w:cstheme="minorBidi"/>
          <w:b/>
          <w:bCs w:val="0"/>
          <w:color w:val="4A66AC" w:themeColor="accent1"/>
          <w:kern w:val="2"/>
          <w:sz w:val="30"/>
          <w:szCs w:val="30"/>
          <w:lang w:val="en-US" w:eastAsia="zh-CN" w:bidi="ar-SA"/>
          <w14:textFill>
            <w14:solidFill>
              <w14:schemeClr w14:val="accent1"/>
            </w14:solidFill>
          </w14:textFill>
        </w:rPr>
        <w:t>类案检索结果分析</w:t>
      </w:r>
      <w:r>
        <w:rPr>
          <w:rFonts w:hint="eastAsia" w:ascii="仿宋" w:hAnsi="仿宋" w:eastAsia="仿宋" w:cstheme="minorBidi"/>
          <w:b/>
          <w:bCs w:val="0"/>
          <w:color w:val="4A66AC" w:themeColor="accent1"/>
          <w:kern w:val="2"/>
          <w:sz w:val="30"/>
          <w:szCs w:val="30"/>
          <w:lang w:val="en-US" w:eastAsia="zh-CN" w:bidi="ar-SA"/>
          <w14:textFill>
            <w14:solidFill>
              <w14:schemeClr w14:val="accent1"/>
            </w14:solidFill>
          </w14:textFill>
        </w:rPr>
        <w:t>】</w:t>
      </w:r>
    </w:p>
    <w:p w14:paraId="1DA7F8A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80" w:firstLineChars="200"/>
        <w:jc w:val="left"/>
        <w:rPr>
          <w:rFonts w:hint="eastAsia" w:ascii="仿宋" w:hAnsi="仿宋" w:eastAsia="仿宋" w:cs="仿宋"/>
          <w:color w:val="auto"/>
          <w:kern w:val="0"/>
          <w:sz w:val="24"/>
          <w:szCs w:val="24"/>
          <w:lang w:val="en-US" w:eastAsia="zh-CN" w:bidi="ar"/>
        </w:rPr>
      </w:pPr>
      <w:r>
        <w:rPr>
          <w:rFonts w:hint="eastAsia" w:ascii="仿宋" w:hAnsi="仿宋" w:eastAsia="仿宋" w:cs="仿宋"/>
          <w:color w:val="auto"/>
          <w:kern w:val="0"/>
          <w:sz w:val="24"/>
          <w:szCs w:val="24"/>
          <w:lang w:val="en-US" w:eastAsia="zh-CN" w:bidi="ar"/>
        </w:rPr>
        <w:t>再次重申类案与本案的核心事实相似点，强化类案的可适用性；</w:t>
      </w:r>
    </w:p>
    <w:p w14:paraId="309323F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80" w:firstLineChars="200"/>
        <w:jc w:val="left"/>
        <w:rPr>
          <w:rFonts w:hint="eastAsia" w:ascii="仿宋" w:hAnsi="仿宋" w:eastAsia="仿宋" w:cs="仿宋"/>
          <w:color w:val="auto"/>
          <w:kern w:val="0"/>
          <w:sz w:val="24"/>
          <w:szCs w:val="24"/>
          <w:lang w:val="en-US" w:eastAsia="zh-CN" w:bidi="ar"/>
        </w:rPr>
      </w:pPr>
      <w:r>
        <w:rPr>
          <w:rFonts w:hint="eastAsia" w:ascii="仿宋" w:hAnsi="仿宋" w:eastAsia="仿宋" w:cs="仿宋"/>
          <w:color w:val="auto"/>
          <w:kern w:val="0"/>
          <w:sz w:val="24"/>
          <w:szCs w:val="24"/>
          <w:lang w:val="en-US" w:eastAsia="zh-CN" w:bidi="ar"/>
        </w:rPr>
        <w:t>明确提请合议庭参考/参照的核心裁判观点，以及对应的核心理由；</w:t>
      </w:r>
    </w:p>
    <w:p w14:paraId="326E419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firstLine="482" w:firstLineChars="200"/>
        <w:jc w:val="left"/>
        <w:rPr>
          <w:rFonts w:hint="default" w:ascii="仿宋" w:hAnsi="仿宋" w:eastAsia="仿宋" w:cs="仿宋"/>
          <w:color w:val="C00000"/>
          <w:kern w:val="0"/>
          <w:sz w:val="24"/>
          <w:szCs w:val="24"/>
          <w:lang w:val="en-US" w:eastAsia="zh-CN" w:bidi="ar"/>
        </w:rPr>
      </w:pPr>
      <w:r>
        <w:rPr>
          <w:rFonts w:hint="eastAsia" w:ascii="仿宋" w:hAnsi="仿宋" w:eastAsia="仿宋" w:cs="仿宋"/>
          <w:b/>
          <w:bCs/>
          <w:color w:val="C00000"/>
          <w:kern w:val="0"/>
          <w:sz w:val="24"/>
          <w:szCs w:val="24"/>
          <w:lang w:val="en-US" w:eastAsia="zh-CN" w:bidi="ar"/>
        </w:rPr>
        <w:t>结合最高院《关于统一法律适用加强类案检索的指导意见》</w:t>
      </w:r>
      <w:r>
        <w:rPr>
          <w:rFonts w:hint="eastAsia" w:ascii="仿宋" w:hAnsi="仿宋" w:eastAsia="仿宋" w:cs="仿宋"/>
          <w:color w:val="C00000"/>
          <w:kern w:val="0"/>
          <w:sz w:val="24"/>
          <w:szCs w:val="24"/>
          <w:lang w:val="en-US" w:eastAsia="zh-CN" w:bidi="ar"/>
        </w:rPr>
        <w:t>，明确所提交类案的效力层级，严格</w:t>
      </w:r>
      <w:r>
        <w:rPr>
          <w:rFonts w:hint="eastAsia" w:ascii="仿宋" w:hAnsi="仿宋" w:eastAsia="仿宋" w:cs="仿宋"/>
          <w:b/>
          <w:bCs/>
          <w:color w:val="C00000"/>
          <w:kern w:val="0"/>
          <w:sz w:val="24"/>
          <w:szCs w:val="24"/>
          <w:lang w:val="en-US" w:eastAsia="zh-CN" w:bidi="ar"/>
        </w:rPr>
        <w:t>区分哪些属于法院应当参照的类案，哪些属于可以参考的类案</w:t>
      </w:r>
      <w:r>
        <w:rPr>
          <w:rFonts w:hint="eastAsia" w:ascii="仿宋" w:hAnsi="仿宋" w:eastAsia="仿宋" w:cs="仿宋"/>
          <w:color w:val="C00000"/>
          <w:kern w:val="0"/>
          <w:sz w:val="24"/>
          <w:szCs w:val="24"/>
          <w:lang w:val="en-US" w:eastAsia="zh-CN" w:bidi="ar"/>
        </w:rPr>
        <w:t>，为合议庭采纳相关裁判规则提供明确的规范依据。</w:t>
      </w:r>
    </w:p>
    <w:p w14:paraId="58CC4B5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仿宋" w:hAnsi="仿宋" w:eastAsia="仿宋" w:cs="仿宋"/>
          <w:color w:val="C00000"/>
          <w:kern w:val="0"/>
          <w:sz w:val="24"/>
          <w:szCs w:val="24"/>
          <w:lang w:val="en-US" w:eastAsia="zh-CN" w:bidi="ar"/>
        </w:rPr>
      </w:pPr>
    </w:p>
    <w:p w14:paraId="02DDEB1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ascii="仿宋" w:hAnsi="仿宋" w:eastAsia="仿宋" w:cstheme="minorBidi"/>
          <w:b/>
          <w:bCs w:val="0"/>
          <w:color w:val="4A66AC" w:themeColor="accent1"/>
          <w:kern w:val="2"/>
          <w:sz w:val="30"/>
          <w:szCs w:val="30"/>
          <w:lang w:val="en-US" w:eastAsia="zh-CN" w:bidi="ar-SA"/>
          <w14:textFill>
            <w14:solidFill>
              <w14:schemeClr w14:val="accent1"/>
            </w14:solidFill>
          </w14:textFill>
        </w:rPr>
      </w:pPr>
      <w:r>
        <w:rPr>
          <w:rFonts w:hint="eastAsia" w:ascii="仿宋" w:hAnsi="仿宋" w:eastAsia="仿宋" w:cstheme="minorBidi"/>
          <w:b/>
          <w:bCs w:val="0"/>
          <w:color w:val="4A66AC" w:themeColor="accent1"/>
          <w:kern w:val="2"/>
          <w:sz w:val="30"/>
          <w:szCs w:val="30"/>
          <w:lang w:val="en-US" w:eastAsia="zh-CN" w:bidi="ar-SA"/>
          <w14:textFill>
            <w14:solidFill>
              <w14:schemeClr w14:val="accent1"/>
            </w14:solidFill>
          </w14:textFill>
        </w:rPr>
        <w:t>六、【附件：类案检索原文】</w:t>
      </w:r>
    </w:p>
    <w:p w14:paraId="56F6ADA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color w:val="auto"/>
        </w:rPr>
      </w:pPr>
      <w:r>
        <w:rPr>
          <w:rFonts w:hint="eastAsia"/>
          <w:color w:val="auto"/>
        </w:rPr>
        <w:t>案例原文：</w:t>
      </w:r>
    </w:p>
    <w:p w14:paraId="0962B228">
      <w:pPr>
        <w:pStyle w:val="2"/>
        <w:rPr>
          <w:color w:val="auto"/>
        </w:rPr>
      </w:pPr>
    </w:p>
    <w:p w14:paraId="62C7CA9A">
      <w:pPr>
        <w:pStyle w:val="4"/>
        <w:ind w:firstLine="482"/>
        <w:rPr>
          <w:color w:val="auto"/>
        </w:rPr>
      </w:pPr>
      <w:r>
        <w:rPr>
          <w:color w:val="auto"/>
        </w:rPr>
        <w:t>1</w:t>
      </w:r>
      <w:r>
        <w:rPr>
          <w:rFonts w:hint="eastAsia"/>
          <w:color w:val="auto"/>
        </w:rPr>
        <w:t>、</w:t>
      </w:r>
    </w:p>
    <w:p w14:paraId="2F24D721">
      <w:pPr>
        <w:spacing w:line="360" w:lineRule="exact"/>
        <w:jc w:val="center"/>
        <w:rPr>
          <w:rFonts w:ascii="仿宋" w:hAnsi="仿宋" w:eastAsia="仿宋"/>
          <w:b/>
          <w:bCs/>
          <w:color w:val="auto"/>
          <w:kern w:val="0"/>
          <w:sz w:val="24"/>
          <w:szCs w:val="24"/>
        </w:rPr>
      </w:pPr>
      <w:r>
        <w:rPr>
          <w:rFonts w:hint="eastAsia" w:ascii="仿宋" w:hAnsi="仿宋" w:eastAsia="仿宋"/>
          <w:b/>
          <w:bCs/>
          <w:color w:val="auto"/>
        </w:rPr>
        <w:t>中华人民共和国最高人民法院</w:t>
      </w:r>
    </w:p>
    <w:p w14:paraId="13B6C63D">
      <w:pPr>
        <w:spacing w:line="360" w:lineRule="exact"/>
        <w:jc w:val="center"/>
        <w:rPr>
          <w:rFonts w:ascii="仿宋" w:hAnsi="仿宋" w:eastAsia="仿宋"/>
          <w:b/>
          <w:bCs/>
          <w:color w:val="auto"/>
        </w:rPr>
      </w:pPr>
      <w:r>
        <w:rPr>
          <w:rFonts w:hint="eastAsia" w:ascii="仿宋" w:hAnsi="仿宋" w:eastAsia="仿宋"/>
          <w:b/>
          <w:bCs/>
          <w:color w:val="auto"/>
        </w:rPr>
        <w:t>民 事 判 决 书</w:t>
      </w:r>
    </w:p>
    <w:p w14:paraId="5BD1A881">
      <w:pPr>
        <w:spacing w:line="360" w:lineRule="exact"/>
        <w:jc w:val="right"/>
        <w:rPr>
          <w:rFonts w:ascii="仿宋" w:hAnsi="仿宋" w:eastAsia="仿宋"/>
          <w:b/>
          <w:bCs/>
          <w:color w:val="auto"/>
        </w:rPr>
      </w:pPr>
      <w:r>
        <w:rPr>
          <w:rFonts w:hint="eastAsia" w:ascii="仿宋" w:hAnsi="仿宋" w:eastAsia="仿宋"/>
          <w:b/>
          <w:bCs/>
          <w:color w:val="auto"/>
        </w:rPr>
        <w:t>（2020）最高法民终1142号</w:t>
      </w:r>
    </w:p>
    <w:p w14:paraId="6109139D">
      <w:pPr>
        <w:spacing w:line="360" w:lineRule="exact"/>
        <w:ind w:firstLine="600"/>
        <w:rPr>
          <w:rFonts w:ascii="仿宋" w:hAnsi="仿宋" w:eastAsia="仿宋"/>
          <w:color w:val="auto"/>
        </w:rPr>
      </w:pPr>
      <w:r>
        <w:rPr>
          <w:rFonts w:hint="eastAsia" w:ascii="仿宋" w:hAnsi="仿宋" w:eastAsia="仿宋"/>
          <w:color w:val="auto"/>
        </w:rPr>
        <w:t>上诉人（原审被告、反诉原告）：青海新田房地产开发有限公司。住所地：青海省西宁市城西区昆仑路1号1#楼151室。</w:t>
      </w:r>
    </w:p>
    <w:p w14:paraId="6C7DFE5D">
      <w:pPr>
        <w:spacing w:line="360" w:lineRule="exact"/>
        <w:ind w:firstLine="600"/>
        <w:rPr>
          <w:rFonts w:ascii="仿宋" w:hAnsi="仿宋" w:eastAsia="仿宋"/>
          <w:color w:val="auto"/>
        </w:rPr>
      </w:pPr>
      <w:r>
        <w:rPr>
          <w:rFonts w:hint="eastAsia" w:ascii="仿宋" w:hAnsi="仿宋" w:eastAsia="仿宋"/>
          <w:color w:val="auto"/>
        </w:rPr>
        <w:t>法定代表人：朱省英，该公司经理。</w:t>
      </w:r>
    </w:p>
    <w:p w14:paraId="7C95B28A">
      <w:pPr>
        <w:spacing w:line="360" w:lineRule="exact"/>
        <w:ind w:firstLine="600"/>
        <w:rPr>
          <w:rFonts w:ascii="仿宋" w:hAnsi="仿宋" w:eastAsia="仿宋"/>
          <w:color w:val="auto"/>
        </w:rPr>
      </w:pPr>
      <w:r>
        <w:rPr>
          <w:rFonts w:hint="eastAsia" w:ascii="仿宋" w:hAnsi="仿宋" w:eastAsia="仿宋"/>
          <w:color w:val="auto"/>
        </w:rPr>
        <w:t>委托诉讼代理人：王之琳，河南强正律师事务所律师。</w:t>
      </w:r>
    </w:p>
    <w:p w14:paraId="0B3EF32B">
      <w:pPr>
        <w:spacing w:line="360" w:lineRule="exact"/>
        <w:ind w:firstLine="600"/>
        <w:rPr>
          <w:rFonts w:ascii="仿宋" w:hAnsi="仿宋" w:eastAsia="仿宋"/>
          <w:color w:val="auto"/>
        </w:rPr>
      </w:pPr>
      <w:r>
        <w:rPr>
          <w:rFonts w:hint="eastAsia" w:ascii="仿宋" w:hAnsi="仿宋" w:eastAsia="仿宋"/>
          <w:color w:val="auto"/>
        </w:rPr>
        <w:t>委托诉讼代理人：杨红菊，河南强正律师事务所律师。</w:t>
      </w:r>
    </w:p>
    <w:p w14:paraId="41B0C58B">
      <w:pPr>
        <w:spacing w:line="360" w:lineRule="exact"/>
        <w:ind w:firstLine="600"/>
        <w:rPr>
          <w:rFonts w:ascii="仿宋" w:hAnsi="仿宋" w:eastAsia="仿宋"/>
          <w:color w:val="auto"/>
        </w:rPr>
      </w:pPr>
      <w:r>
        <w:rPr>
          <w:rFonts w:hint="eastAsia" w:ascii="仿宋" w:hAnsi="仿宋" w:eastAsia="仿宋"/>
          <w:color w:val="auto"/>
        </w:rPr>
        <w:t>被上诉人（原审原告、反诉被告）：万利建设有限公司。住所地：浙江省东阳市城东街道李宅前山路28号。</w:t>
      </w:r>
    </w:p>
    <w:p w14:paraId="57DE1007">
      <w:pPr>
        <w:spacing w:line="360" w:lineRule="exact"/>
        <w:ind w:firstLine="600"/>
        <w:rPr>
          <w:rFonts w:ascii="仿宋" w:hAnsi="仿宋" w:eastAsia="仿宋"/>
          <w:color w:val="auto"/>
        </w:rPr>
      </w:pPr>
      <w:r>
        <w:rPr>
          <w:rFonts w:hint="eastAsia" w:ascii="仿宋" w:hAnsi="仿宋" w:eastAsia="仿宋"/>
          <w:color w:val="auto"/>
        </w:rPr>
        <w:t>破产管理人：浙江金兰律师事务所。</w:t>
      </w:r>
    </w:p>
    <w:p w14:paraId="5CD60418">
      <w:pPr>
        <w:spacing w:line="360" w:lineRule="exact"/>
        <w:ind w:firstLine="600"/>
        <w:rPr>
          <w:rFonts w:ascii="仿宋" w:hAnsi="仿宋" w:eastAsia="仿宋"/>
          <w:color w:val="auto"/>
        </w:rPr>
      </w:pPr>
      <w:r>
        <w:rPr>
          <w:rFonts w:hint="eastAsia" w:ascii="仿宋" w:hAnsi="仿宋" w:eastAsia="仿宋"/>
          <w:color w:val="auto"/>
        </w:rPr>
        <w:t>委托诉讼代理人：王立红，浙江金兰律师事务所律师。</w:t>
      </w:r>
    </w:p>
    <w:p w14:paraId="5A313123">
      <w:pPr>
        <w:spacing w:line="360" w:lineRule="exact"/>
        <w:ind w:firstLine="600"/>
        <w:rPr>
          <w:rFonts w:ascii="仿宋" w:hAnsi="仿宋" w:eastAsia="仿宋"/>
          <w:color w:val="auto"/>
        </w:rPr>
      </w:pPr>
      <w:r>
        <w:rPr>
          <w:rFonts w:hint="eastAsia" w:ascii="仿宋" w:hAnsi="仿宋" w:eastAsia="仿宋"/>
          <w:color w:val="auto"/>
        </w:rPr>
        <w:t>被上诉人（原审第三人）：吴美永，男，1960年6月13日生，汉族，住所地：浙江省东阳市。</w:t>
      </w:r>
    </w:p>
    <w:p w14:paraId="32AC852B">
      <w:pPr>
        <w:spacing w:line="360" w:lineRule="exact"/>
        <w:ind w:firstLine="600"/>
        <w:rPr>
          <w:rFonts w:ascii="仿宋" w:hAnsi="仿宋" w:eastAsia="仿宋"/>
          <w:color w:val="auto"/>
        </w:rPr>
      </w:pPr>
      <w:r>
        <w:rPr>
          <w:rFonts w:hint="eastAsia" w:ascii="仿宋" w:hAnsi="仿宋" w:eastAsia="仿宋"/>
          <w:color w:val="auto"/>
        </w:rPr>
        <w:t>委托诉讼代理人：钟汝超，北京中盈（西宁）律师事务所律师。</w:t>
      </w:r>
    </w:p>
    <w:p w14:paraId="5FBDE962">
      <w:pPr>
        <w:spacing w:line="360" w:lineRule="exact"/>
        <w:ind w:firstLine="600"/>
        <w:rPr>
          <w:rFonts w:ascii="仿宋" w:hAnsi="仿宋" w:eastAsia="仿宋"/>
          <w:color w:val="auto"/>
        </w:rPr>
      </w:pPr>
      <w:r>
        <w:rPr>
          <w:rFonts w:hint="eastAsia" w:ascii="仿宋" w:hAnsi="仿宋" w:eastAsia="仿宋"/>
          <w:color w:val="auto"/>
        </w:rPr>
        <w:t>上诉人青海新田房地产开发有限公司（以下简称新田公司）因与被上诉人万利建设有限公司（以下简称万利公司）、吴美永建设工程施工合同纠纷一案，不服青海省高级人民法院（2017）青民初32号民事判决，向本院提起上诉。本院依法组成合议庭,于2020年11月4日公开开庭进行了审理，上诉人新田公司委托诉讼代理人王之琳、杨红菊，被上诉人万利公司委托诉讼代理人王立红,被上诉人吴美永及其委托诉讼代理人钟汝超到庭参加诉讼。本案现已审理终结。</w:t>
      </w:r>
    </w:p>
    <w:p w14:paraId="473C8119">
      <w:pPr>
        <w:spacing w:line="360" w:lineRule="exact"/>
        <w:ind w:firstLine="600"/>
        <w:rPr>
          <w:rFonts w:ascii="仿宋" w:hAnsi="仿宋" w:eastAsia="仿宋"/>
          <w:color w:val="auto"/>
        </w:rPr>
      </w:pPr>
      <w:r>
        <w:rPr>
          <w:rFonts w:hint="eastAsia" w:ascii="仿宋" w:hAnsi="仿宋" w:eastAsia="仿宋"/>
          <w:color w:val="auto"/>
        </w:rPr>
        <w:t>新田公司上诉请求：一、依法判令撤销青海省高级人民法院（2017）青民初32号民事判决，依法改判驳回万利公司全部诉讼请求，支持新田公司的全部反诉请求；二、本案一、二审诉讼费用由万利公司承担。事实及理由：一、对于案涉合同总造价，一审法院一方面认定合同价款为3.29亿元；另一方面依据鉴定意见认定以3.5亿元为基数计算人工费正确，这两种认识明显矛盾。万利公司提交的多项证据材料等均载明案涉工程价款为3.29亿元。当事人也自认工程价款为3.29亿元，一审法院并未采信，缺乏依据。二、对于案涉合同总造价的范围，一审法院认为不包含案涉争议16项工程，系事实认定错误；锅炉房及基坑支护的费用认定亦存在问题。1.万利公司提交的3.5亿元的合同无效，电子版的投标清单形成时间在工程开工之后，也是无效证据。一审法院依据该两项证据去论证3.29亿元的中标合同，违反证据原则。3.5亿元的合同确实不包含16项工程，但两份合同不仅差别在合同价意见不能作为证据使用。本院认为，《最高人民法院关于审理建设工程施工合同纠纷案件适用法律问题的解释（二）》第十四条规定，当事人对工程造价等专门性问题有争议，人民法院认为需要鉴定的，应当向负有举证责任的当事人释明。当事人经释明虽申请鉴定但拒不提供相关材料的，应当承担举证不能的法律后果。本案中，一审法院根据当事人申请,依法委托鉴定机构对案涉争议部分进行鉴定,鉴定机构出具了鉴定意见并经质证；而在鉴定中新田公司未能提交由其负责备案的投标预算书，亦未按照法院要求提交监理日志或确定施工节点的任何鉴定材料，故一审法院认定新田公司承担举证不能的责任符合上述司法解释的规定，并无不当。另，新田公司认为一审法院不当适用举证责任倒置导致其承担举证不能后果，但其未能明确提出具体情形，亦未提交相关证据，故该上诉主张没有事实依据，不能成立。新田公司还认为，人工费因案涉合同无效导致调整依据不足，一审判决缺乏合同及法律依据。</w:t>
      </w:r>
      <w:r>
        <w:rPr>
          <w:rFonts w:hint="eastAsia" w:ascii="仿宋" w:hAnsi="仿宋" w:eastAsia="仿宋"/>
          <w:color w:val="auto"/>
          <w:highlight w:val="yellow"/>
        </w:rPr>
        <w:t>经查，案涉合同中明确约定政策性调整、造价管理部门调整价格的属于工程价款调整范围。案涉合同虽无效,但该约定系双方当事人真实意思表示,一审法院参照适用,将案涉工程的人工费依据青海省的造价调整规定予以调整，并无不当。</w:t>
      </w:r>
      <w:r>
        <w:rPr>
          <w:rFonts w:hint="eastAsia" w:ascii="仿宋" w:hAnsi="仿宋" w:eastAsia="仿宋"/>
          <w:color w:val="auto"/>
        </w:rPr>
        <w:t>故一审法院结合鉴定意见及全案证据情况,认定案涉工程造价应为356767813.87元（329874156.18元＋8939306.89元＋17954350.8元）,并无不妥。</w:t>
      </w:r>
    </w:p>
    <w:p w14:paraId="64E47CC7">
      <w:pPr>
        <w:spacing w:line="360" w:lineRule="exact"/>
        <w:ind w:firstLine="600"/>
        <w:rPr>
          <w:rFonts w:ascii="仿宋" w:hAnsi="仿宋" w:eastAsia="仿宋"/>
          <w:color w:val="auto"/>
        </w:rPr>
      </w:pPr>
      <w:r>
        <w:rPr>
          <w:rFonts w:hint="eastAsia" w:ascii="仿宋" w:hAnsi="仿宋" w:eastAsia="仿宋"/>
          <w:color w:val="auto"/>
        </w:rPr>
        <w:t>5.对于部分还款金额的认定，新田公司认为吴美永在另案中自认的两笔30万元系工程款以及吴美永委托新田公司代为支付的18万元鉴定费，以上共计78万元应抵扣工程款，一审判决未予认定不妥。经查，该18万元鉴定费系用于新田公司股东股权价值、股东全部权益的市场价值等事项的评估鉴定费用，与本案工程款争议部分无关；两笔30万元款项实际已在另案生效法律文书中作为案外人高金艳所借260万元的还款认定，故一审法院未予抵扣未有不妥。故新田公司关于一审法院对还款金额认定错误的上诉主张,缺乏事实和法律依据，本院不予支持。</w:t>
      </w:r>
    </w:p>
    <w:p w14:paraId="797DFD0C">
      <w:pPr>
        <w:spacing w:line="360" w:lineRule="exact"/>
        <w:ind w:firstLine="600"/>
        <w:rPr>
          <w:rFonts w:ascii="仿宋" w:hAnsi="仿宋" w:eastAsia="仿宋"/>
          <w:color w:val="auto"/>
        </w:rPr>
      </w:pPr>
      <w:r>
        <w:rPr>
          <w:rFonts w:hint="eastAsia" w:ascii="仿宋" w:hAnsi="仿宋" w:eastAsia="仿宋"/>
          <w:color w:val="auto"/>
        </w:rPr>
        <w:t>三、关于违约金承担问题</w:t>
      </w:r>
    </w:p>
    <w:p w14:paraId="313B7EB8">
      <w:pPr>
        <w:spacing w:line="360" w:lineRule="exact"/>
        <w:ind w:firstLine="600"/>
        <w:rPr>
          <w:rFonts w:ascii="仿宋" w:hAnsi="仿宋" w:eastAsia="仿宋"/>
          <w:color w:val="auto"/>
        </w:rPr>
      </w:pPr>
      <w:r>
        <w:rPr>
          <w:rFonts w:hint="eastAsia" w:ascii="仿宋" w:hAnsi="仿宋" w:eastAsia="仿宋"/>
          <w:color w:val="auto"/>
        </w:rPr>
        <w:t>新田公司认为一审法院未支持新田公司要求万利公司承担违约金的请求，显失公平；万利公司违法出借资质，万利公司、吴美永在缔约时具有过错，万利公司、吴美永应自行承担90%的责任。对此，根据《最高人民法院关于审理建设工程施工合同纠纷案件适用法律问题的解释（二）》第三条，“建设工程施工合同无效，一方当事人请求对方赔偿损失的，应当就对方过错、损失大小、过错与损失之间的因果关系承担举证责任。损失大小无法确定，一方当事人请求参照合同约定的质量标准、建设工期、工程价款支付时间等内容确定损失大小的，人民法院可以结合双方过错程度、过错与损失之间的因果关系等因素作出裁判。”经查，案涉合同约定竣工日期为2015年9月30日，以实际竣工报告为准，案涉工程1-4#楼于2016年11月9日全部竣工验收，双方认可案涉工程于2016年12月6日全部移交完毕。本院认为，案涉合同约定的竣工日期以实际竣工报告为准，且在吴美永施工过程中，新田公司同意增加部分工程量，还存在欠付工程款或转卖在建房屋抵付工程款等情形，以上事实均会对工期造成一定影响；新田公司亦无其他证据证实万利公司、吴美永对工期延误存在过错。故新田公司主张案涉工程工期延误违约金没有事实依据，本院不予支持。</w:t>
      </w:r>
    </w:p>
    <w:p w14:paraId="734BD9EF">
      <w:pPr>
        <w:spacing w:line="360" w:lineRule="exact"/>
        <w:ind w:firstLine="600"/>
        <w:rPr>
          <w:rFonts w:ascii="仿宋" w:hAnsi="仿宋" w:eastAsia="仿宋"/>
          <w:color w:val="auto"/>
        </w:rPr>
      </w:pPr>
      <w:r>
        <w:rPr>
          <w:rFonts w:hint="eastAsia" w:ascii="仿宋" w:hAnsi="仿宋" w:eastAsia="仿宋"/>
          <w:color w:val="auto"/>
        </w:rPr>
        <w:t>四、关于出具发票的诉请问题</w:t>
      </w:r>
    </w:p>
    <w:p w14:paraId="16FD0D3E">
      <w:pPr>
        <w:spacing w:line="360" w:lineRule="exact"/>
        <w:ind w:firstLine="600"/>
        <w:rPr>
          <w:rFonts w:ascii="仿宋" w:hAnsi="仿宋" w:eastAsia="仿宋"/>
          <w:color w:val="auto"/>
        </w:rPr>
      </w:pPr>
      <w:r>
        <w:rPr>
          <w:rFonts w:hint="eastAsia" w:ascii="仿宋" w:hAnsi="仿宋" w:eastAsia="仿宋"/>
          <w:color w:val="auto"/>
        </w:rPr>
        <w:t>新田公司认为其向一审法院撤回要求万利公司、吴美永出具发票的诉讼请求系非自愿的，故要求二审法院支持其该项诉讼请求。因新田公司无证据证明一审中系非自愿撤诉，故该诉讼请求不属于二审的审理范围，本院不予支持。</w:t>
      </w:r>
    </w:p>
    <w:p w14:paraId="23F616FE">
      <w:pPr>
        <w:spacing w:line="360" w:lineRule="exact"/>
        <w:ind w:firstLine="600"/>
        <w:rPr>
          <w:rFonts w:ascii="仿宋" w:hAnsi="仿宋" w:eastAsia="仿宋"/>
          <w:color w:val="auto"/>
        </w:rPr>
      </w:pPr>
      <w:r>
        <w:rPr>
          <w:rFonts w:hint="eastAsia" w:ascii="仿宋" w:hAnsi="仿宋" w:eastAsia="仿宋"/>
          <w:color w:val="auto"/>
        </w:rPr>
        <w:t>综上,新田公司的上诉请求均不能成立,应予驳回;一审判决认定事实清楚,适用法律正确,应予维持。依照《中华人民共和国民事诉讼法》第一百七十条第一款第一项规定,判决如下:</w:t>
      </w:r>
    </w:p>
    <w:p w14:paraId="058A3827">
      <w:pPr>
        <w:spacing w:line="360" w:lineRule="exact"/>
        <w:ind w:firstLine="600"/>
        <w:rPr>
          <w:rFonts w:ascii="仿宋" w:hAnsi="仿宋" w:eastAsia="仿宋"/>
          <w:color w:val="auto"/>
        </w:rPr>
      </w:pPr>
      <w:r>
        <w:rPr>
          <w:rFonts w:hint="eastAsia" w:ascii="仿宋" w:hAnsi="仿宋" w:eastAsia="仿宋"/>
          <w:color w:val="auto"/>
        </w:rPr>
        <w:t>驳回上诉,维持原判。</w:t>
      </w:r>
    </w:p>
    <w:p w14:paraId="3BA24F5D">
      <w:pPr>
        <w:spacing w:line="360" w:lineRule="exact"/>
        <w:ind w:firstLine="600"/>
        <w:rPr>
          <w:rFonts w:ascii="仿宋" w:hAnsi="仿宋" w:eastAsia="仿宋"/>
          <w:color w:val="auto"/>
        </w:rPr>
      </w:pPr>
      <w:r>
        <w:rPr>
          <w:rFonts w:hint="eastAsia" w:ascii="仿宋" w:hAnsi="仿宋" w:eastAsia="仿宋"/>
          <w:color w:val="auto"/>
        </w:rPr>
        <w:t>二审案件受理费289510.99元,由青海新田房地产开发有限公司负担。</w:t>
      </w:r>
    </w:p>
    <w:p w14:paraId="32D91278">
      <w:pPr>
        <w:spacing w:line="360" w:lineRule="exact"/>
        <w:ind w:firstLine="600"/>
        <w:rPr>
          <w:rFonts w:ascii="仿宋" w:hAnsi="仿宋" w:eastAsia="仿宋"/>
          <w:color w:val="auto"/>
        </w:rPr>
      </w:pPr>
      <w:r>
        <w:rPr>
          <w:rFonts w:hint="eastAsia" w:ascii="仿宋" w:hAnsi="仿宋" w:eastAsia="仿宋"/>
          <w:color w:val="auto"/>
        </w:rPr>
        <w:t>本判决为终审判决。</w:t>
      </w:r>
    </w:p>
    <w:p w14:paraId="55FCD31F">
      <w:pPr>
        <w:spacing w:line="360" w:lineRule="exact"/>
        <w:jc w:val="right"/>
        <w:rPr>
          <w:rFonts w:ascii="仿宋" w:hAnsi="仿宋" w:eastAsia="仿宋"/>
          <w:color w:val="auto"/>
        </w:rPr>
      </w:pPr>
      <w:r>
        <w:rPr>
          <w:rFonts w:hint="eastAsia" w:ascii="仿宋" w:hAnsi="仿宋" w:eastAsia="仿宋"/>
          <w:color w:val="auto"/>
        </w:rPr>
        <w:t>审判长  曾宏伟</w:t>
      </w:r>
    </w:p>
    <w:p w14:paraId="13588A31">
      <w:pPr>
        <w:spacing w:line="360" w:lineRule="exact"/>
        <w:jc w:val="right"/>
        <w:rPr>
          <w:rFonts w:ascii="仿宋" w:hAnsi="仿宋" w:eastAsia="仿宋"/>
          <w:color w:val="auto"/>
        </w:rPr>
      </w:pPr>
      <w:r>
        <w:rPr>
          <w:rFonts w:hint="eastAsia" w:ascii="仿宋" w:hAnsi="仿宋" w:eastAsia="仿宋"/>
          <w:color w:val="auto"/>
        </w:rPr>
        <w:t>审判员  何  波</w:t>
      </w:r>
    </w:p>
    <w:p w14:paraId="77C866F4">
      <w:pPr>
        <w:spacing w:line="360" w:lineRule="exact"/>
        <w:jc w:val="right"/>
        <w:rPr>
          <w:rFonts w:ascii="仿宋" w:hAnsi="仿宋" w:eastAsia="仿宋"/>
          <w:color w:val="auto"/>
        </w:rPr>
      </w:pPr>
      <w:r>
        <w:rPr>
          <w:rFonts w:hint="eastAsia" w:ascii="仿宋" w:hAnsi="仿宋" w:eastAsia="仿宋"/>
          <w:color w:val="auto"/>
        </w:rPr>
        <w:t>审判员  刘小飞</w:t>
      </w:r>
    </w:p>
    <w:p w14:paraId="2B0D30BA">
      <w:pPr>
        <w:spacing w:line="360" w:lineRule="exact"/>
        <w:jc w:val="right"/>
        <w:rPr>
          <w:rFonts w:ascii="仿宋" w:hAnsi="仿宋" w:eastAsia="仿宋"/>
          <w:color w:val="auto"/>
        </w:rPr>
      </w:pPr>
      <w:r>
        <w:rPr>
          <w:rFonts w:hint="eastAsia" w:ascii="仿宋" w:hAnsi="仿宋" w:eastAsia="仿宋"/>
          <w:color w:val="auto"/>
        </w:rPr>
        <w:t>二〇二〇年十二月十四日</w:t>
      </w:r>
    </w:p>
    <w:p w14:paraId="7B7B4EE0">
      <w:pPr>
        <w:spacing w:line="360" w:lineRule="exact"/>
        <w:ind w:right="-58" w:firstLine="600"/>
        <w:jc w:val="right"/>
        <w:rPr>
          <w:rFonts w:ascii="仿宋" w:hAnsi="仿宋" w:eastAsia="仿宋"/>
          <w:color w:val="auto"/>
        </w:rPr>
      </w:pPr>
      <w:r>
        <w:rPr>
          <w:rFonts w:hint="eastAsia" w:ascii="仿宋" w:hAnsi="仿宋" w:eastAsia="仿宋"/>
          <w:color w:val="auto"/>
        </w:rPr>
        <w:t xml:space="preserve"> </w:t>
      </w:r>
      <w:r>
        <w:rPr>
          <w:rFonts w:ascii="仿宋" w:hAnsi="仿宋" w:eastAsia="仿宋"/>
          <w:color w:val="auto"/>
        </w:rPr>
        <w:t xml:space="preserve">  </w:t>
      </w:r>
      <w:r>
        <w:rPr>
          <w:rFonts w:hint="eastAsia" w:ascii="仿宋" w:hAnsi="仿宋" w:eastAsia="仿宋"/>
          <w:color w:val="auto"/>
        </w:rPr>
        <w:t>法官助理  白隽永</w:t>
      </w:r>
    </w:p>
    <w:p w14:paraId="3D832815">
      <w:pPr>
        <w:spacing w:line="360" w:lineRule="exact"/>
        <w:ind w:right="-57" w:rightChars="-27" w:firstLine="567"/>
        <w:jc w:val="center"/>
        <w:rPr>
          <w:rFonts w:ascii="仿宋" w:hAnsi="仿宋" w:eastAsia="仿宋"/>
          <w:color w:val="auto"/>
        </w:rPr>
      </w:pPr>
      <w:r>
        <w:rPr>
          <w:rFonts w:hint="eastAsia" w:ascii="仿宋" w:hAnsi="仿宋" w:eastAsia="仿宋"/>
          <w:color w:val="auto"/>
        </w:rPr>
        <w:t xml:space="preserve">                                     </w:t>
      </w:r>
      <w:r>
        <w:rPr>
          <w:rFonts w:ascii="仿宋" w:hAnsi="仿宋" w:eastAsia="仿宋"/>
          <w:color w:val="auto"/>
        </w:rPr>
        <w:t xml:space="preserve">                      </w:t>
      </w:r>
      <w:r>
        <w:rPr>
          <w:rFonts w:hint="eastAsia" w:ascii="仿宋" w:hAnsi="仿宋" w:eastAsia="仿宋"/>
          <w:color w:val="auto"/>
        </w:rPr>
        <w:t>书记员</w:t>
      </w:r>
      <w:r>
        <w:rPr>
          <w:rFonts w:ascii="仿宋" w:hAnsi="仿宋" w:eastAsia="仿宋"/>
          <w:color w:val="auto"/>
        </w:rPr>
        <w:t xml:space="preserve"> </w:t>
      </w:r>
      <w:r>
        <w:rPr>
          <w:rFonts w:hint="eastAsia" w:ascii="仿宋" w:hAnsi="仿宋" w:eastAsia="仿宋"/>
          <w:color w:val="auto"/>
        </w:rPr>
        <w:t xml:space="preserve"> 张 </w:t>
      </w:r>
      <w:r>
        <w:rPr>
          <w:rFonts w:ascii="仿宋" w:hAnsi="仿宋" w:eastAsia="仿宋"/>
          <w:color w:val="auto"/>
        </w:rPr>
        <w:t xml:space="preserve"> </w:t>
      </w:r>
      <w:r>
        <w:rPr>
          <w:rFonts w:hint="eastAsia" w:ascii="仿宋" w:hAnsi="仿宋" w:eastAsia="仿宋"/>
          <w:color w:val="auto"/>
        </w:rPr>
        <w:t>洋</w:t>
      </w:r>
    </w:p>
    <w:p w14:paraId="28BAA79F">
      <w:pPr>
        <w:spacing w:line="360" w:lineRule="exact"/>
        <w:ind w:right="-57" w:rightChars="-27" w:firstLine="567"/>
        <w:jc w:val="center"/>
        <w:rPr>
          <w:rFonts w:ascii="仿宋" w:hAnsi="仿宋" w:eastAsia="仿宋"/>
          <w:color w:val="auto"/>
        </w:rPr>
      </w:pPr>
    </w:p>
    <w:p w14:paraId="76B69E29">
      <w:pPr>
        <w:spacing w:line="360" w:lineRule="exact"/>
        <w:ind w:right="-57" w:rightChars="-27" w:firstLine="567"/>
        <w:jc w:val="center"/>
        <w:rPr>
          <w:rFonts w:ascii="仿宋" w:hAnsi="仿宋" w:eastAsia="仿宋"/>
          <w:color w:val="auto"/>
        </w:rPr>
      </w:pPr>
    </w:p>
    <w:p w14:paraId="0F293AE1">
      <w:pPr>
        <w:spacing w:line="360" w:lineRule="exact"/>
        <w:ind w:firstLine="600"/>
        <w:jc w:val="right"/>
        <w:rPr>
          <w:rFonts w:ascii="仿宋" w:hAnsi="仿宋" w:eastAsia="仿宋"/>
          <w:color w:val="auto"/>
        </w:rPr>
      </w:pPr>
    </w:p>
    <w:sectPr>
      <w:headerReference r:id="rId5" w:type="default"/>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方正仿宋_GB2312">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21641">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1126080"/>
      <w:docPartObj>
        <w:docPartGallery w:val="autotext"/>
      </w:docPartObj>
    </w:sdtPr>
    <w:sdtContent>
      <w:p w14:paraId="4E677D44">
        <w:pPr>
          <w:pStyle w:val="8"/>
          <w:jc w:val="center"/>
        </w:pPr>
        <w:r>
          <w:fldChar w:fldCharType="begin"/>
        </w:r>
        <w:r>
          <w:instrText xml:space="preserve">PAGE   \* MERGEFORMAT</w:instrText>
        </w:r>
        <w:r>
          <w:fldChar w:fldCharType="separate"/>
        </w:r>
        <w:r>
          <w:rPr>
            <w:lang w:val="zh-CN"/>
          </w:rPr>
          <w:t>2</w:t>
        </w:r>
        <w:r>
          <w:fldChar w:fldCharType="end"/>
        </w:r>
      </w:p>
    </w:sdtContent>
  </w:sdt>
  <w:p w14:paraId="5CA6279C">
    <w:pPr>
      <w:pStyle w:val="8"/>
      <w:jc w:val="center"/>
      <w:rPr>
        <w:rFonts w:ascii="仿宋" w:hAnsi="仿宋" w:eastAsia="仿宋"/>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5D08D">
    <w:pPr>
      <w:pStyle w:val="9"/>
      <w:jc w:val="left"/>
      <w:rPr>
        <w:rFonts w:ascii="仿宋" w:hAnsi="仿宋" w:eastAsia="仿宋"/>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7A37A">
    <w:pPr>
      <w:pStyle w:val="9"/>
      <w:jc w:val="left"/>
      <w:rPr>
        <w:rFonts w:ascii="仿宋" w:hAnsi="仿宋" w:eastAsia="仿宋"/>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CD0AE"/>
    <w:multiLevelType w:val="singleLevel"/>
    <w:tmpl w:val="873CD0AE"/>
    <w:lvl w:ilvl="0" w:tentative="0">
      <w:start w:val="1"/>
      <w:numFmt w:val="decimalEnclosedCircleChinese"/>
      <w:suff w:val="nothing"/>
      <w:lvlText w:val="%1　"/>
      <w:lvlJc w:val="left"/>
      <w:pPr>
        <w:ind w:left="0" w:firstLine="400"/>
      </w:pPr>
      <w:rPr>
        <w:rFonts w:hint="eastAsia"/>
      </w:rPr>
    </w:lvl>
  </w:abstractNum>
  <w:abstractNum w:abstractNumId="1">
    <w:nsid w:val="8B8CA78A"/>
    <w:multiLevelType w:val="singleLevel"/>
    <w:tmpl w:val="8B8CA78A"/>
    <w:lvl w:ilvl="0" w:tentative="0">
      <w:start w:val="1"/>
      <w:numFmt w:val="decimalEnclosedCircleChinese"/>
      <w:suff w:val="nothing"/>
      <w:lvlText w:val="%1　"/>
      <w:lvlJc w:val="left"/>
      <w:pPr>
        <w:ind w:left="0" w:firstLine="400"/>
      </w:pPr>
      <w:rPr>
        <w:rFonts w:hint="eastAsia"/>
      </w:rPr>
    </w:lvl>
  </w:abstractNum>
  <w:abstractNum w:abstractNumId="2">
    <w:nsid w:val="E44B307C"/>
    <w:multiLevelType w:val="singleLevel"/>
    <w:tmpl w:val="E44B307C"/>
    <w:lvl w:ilvl="0" w:tentative="0">
      <w:start w:val="1"/>
      <w:numFmt w:val="decimalEnclosedCircleChinese"/>
      <w:suff w:val="nothing"/>
      <w:lvlText w:val="%1　"/>
      <w:lvlJc w:val="left"/>
      <w:pPr>
        <w:ind w:left="0" w:firstLine="400"/>
      </w:pPr>
      <w:rPr>
        <w:rFonts w:hint="eastAsia"/>
      </w:rPr>
    </w:lvl>
  </w:abstractNum>
  <w:abstractNum w:abstractNumId="3">
    <w:nsid w:val="F2ED7758"/>
    <w:multiLevelType w:val="singleLevel"/>
    <w:tmpl w:val="F2ED7758"/>
    <w:lvl w:ilvl="0" w:tentative="0">
      <w:start w:val="1"/>
      <w:numFmt w:val="decimalEnclosedCircleChinese"/>
      <w:suff w:val="nothing"/>
      <w:lvlText w:val="%1　"/>
      <w:lvlJc w:val="left"/>
      <w:pPr>
        <w:ind w:left="0" w:firstLine="400"/>
      </w:pPr>
      <w:rPr>
        <w:rFonts w:hint="eastAsia"/>
      </w:rPr>
    </w:lvl>
  </w:abstractNum>
  <w:abstractNum w:abstractNumId="4">
    <w:nsid w:val="1D8242E7"/>
    <w:multiLevelType w:val="singleLevel"/>
    <w:tmpl w:val="1D8242E7"/>
    <w:lvl w:ilvl="0" w:tentative="0">
      <w:start w:val="1"/>
      <w:numFmt w:val="decimalEnclosedCircleChinese"/>
      <w:suff w:val="nothing"/>
      <w:lvlText w:val="%1　"/>
      <w:lvlJc w:val="left"/>
      <w:pPr>
        <w:ind w:left="0" w:firstLine="400"/>
      </w:pPr>
      <w:rPr>
        <w:rFonts w:hint="eastAsia"/>
      </w:rPr>
    </w:lvl>
  </w:abstractNum>
  <w:abstractNum w:abstractNumId="5">
    <w:nsid w:val="1EA0139B"/>
    <w:multiLevelType w:val="multilevel"/>
    <w:tmpl w:val="1EA013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553AFB94"/>
    <w:multiLevelType w:val="singleLevel"/>
    <w:tmpl w:val="553AFB94"/>
    <w:lvl w:ilvl="0" w:tentative="0">
      <w:start w:val="1"/>
      <w:numFmt w:val="decimalEnclosedCircleChinese"/>
      <w:suff w:val="nothing"/>
      <w:lvlText w:val="%1　"/>
      <w:lvlJc w:val="left"/>
      <w:pPr>
        <w:ind w:left="0" w:firstLine="400"/>
      </w:pPr>
      <w:rPr>
        <w:rFonts w:hint="eastAsia"/>
      </w:rPr>
    </w:lvl>
  </w:abstractNum>
  <w:abstractNum w:abstractNumId="7">
    <w:nsid w:val="7673ED43"/>
    <w:multiLevelType w:val="singleLevel"/>
    <w:tmpl w:val="7673ED43"/>
    <w:lvl w:ilvl="0" w:tentative="0">
      <w:start w:val="1"/>
      <w:numFmt w:val="chineseCounting"/>
      <w:suff w:val="nothing"/>
      <w:lvlText w:val="%1、"/>
      <w:lvlJc w:val="left"/>
      <w:pPr>
        <w:ind w:left="0" w:firstLine="420"/>
      </w:pPr>
      <w:rPr>
        <w:rFonts w:hint="eastAsia"/>
      </w:rPr>
    </w:lvl>
  </w:abstractNum>
  <w:num w:numId="1">
    <w:abstractNumId w:val="0"/>
  </w:num>
  <w:num w:numId="2">
    <w:abstractNumId w:val="1"/>
  </w:num>
  <w:num w:numId="3">
    <w:abstractNumId w:val="2"/>
  </w:num>
  <w:num w:numId="4">
    <w:abstractNumId w:val="6"/>
  </w:num>
  <w:num w:numId="5">
    <w:abstractNumId w:val="3"/>
  </w:num>
  <w:num w:numId="6">
    <w:abstractNumId w:val="5"/>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0842"/>
    <w:rsid w:val="0000118A"/>
    <w:rsid w:val="0000437A"/>
    <w:rsid w:val="00004A47"/>
    <w:rsid w:val="000059AF"/>
    <w:rsid w:val="00005EED"/>
    <w:rsid w:val="00006DF8"/>
    <w:rsid w:val="00007D5D"/>
    <w:rsid w:val="000107F0"/>
    <w:rsid w:val="00012C90"/>
    <w:rsid w:val="00014392"/>
    <w:rsid w:val="000159DC"/>
    <w:rsid w:val="00016684"/>
    <w:rsid w:val="00016BD9"/>
    <w:rsid w:val="00017383"/>
    <w:rsid w:val="00020621"/>
    <w:rsid w:val="00020B81"/>
    <w:rsid w:val="00022689"/>
    <w:rsid w:val="0002357B"/>
    <w:rsid w:val="00025385"/>
    <w:rsid w:val="000265F9"/>
    <w:rsid w:val="000265FE"/>
    <w:rsid w:val="00030EC4"/>
    <w:rsid w:val="000337C0"/>
    <w:rsid w:val="00035E08"/>
    <w:rsid w:val="00035E70"/>
    <w:rsid w:val="00035EA7"/>
    <w:rsid w:val="00037044"/>
    <w:rsid w:val="000375DE"/>
    <w:rsid w:val="00043008"/>
    <w:rsid w:val="000500CA"/>
    <w:rsid w:val="00052A7D"/>
    <w:rsid w:val="000536E1"/>
    <w:rsid w:val="00053E82"/>
    <w:rsid w:val="000542B6"/>
    <w:rsid w:val="00063E4D"/>
    <w:rsid w:val="000653CA"/>
    <w:rsid w:val="00066208"/>
    <w:rsid w:val="0006749B"/>
    <w:rsid w:val="00072922"/>
    <w:rsid w:val="0007552E"/>
    <w:rsid w:val="00077EB9"/>
    <w:rsid w:val="00080FF8"/>
    <w:rsid w:val="0008212A"/>
    <w:rsid w:val="000827D9"/>
    <w:rsid w:val="00082FAC"/>
    <w:rsid w:val="000858F0"/>
    <w:rsid w:val="000861B3"/>
    <w:rsid w:val="0009324E"/>
    <w:rsid w:val="00093D40"/>
    <w:rsid w:val="000950F1"/>
    <w:rsid w:val="00096B6F"/>
    <w:rsid w:val="00096C52"/>
    <w:rsid w:val="00097CEA"/>
    <w:rsid w:val="000A032D"/>
    <w:rsid w:val="000A1CFD"/>
    <w:rsid w:val="000A3346"/>
    <w:rsid w:val="000A42F7"/>
    <w:rsid w:val="000A48F4"/>
    <w:rsid w:val="000A7564"/>
    <w:rsid w:val="000B01B7"/>
    <w:rsid w:val="000B02A0"/>
    <w:rsid w:val="000B1CA9"/>
    <w:rsid w:val="000B4A06"/>
    <w:rsid w:val="000B4E98"/>
    <w:rsid w:val="000B5984"/>
    <w:rsid w:val="000B5C59"/>
    <w:rsid w:val="000B6F9B"/>
    <w:rsid w:val="000C0369"/>
    <w:rsid w:val="000C649B"/>
    <w:rsid w:val="000C7DB9"/>
    <w:rsid w:val="000D113A"/>
    <w:rsid w:val="000D49F7"/>
    <w:rsid w:val="000E3E1F"/>
    <w:rsid w:val="000E7B2F"/>
    <w:rsid w:val="000E7E01"/>
    <w:rsid w:val="000F4AD8"/>
    <w:rsid w:val="000F77E8"/>
    <w:rsid w:val="000F7C3F"/>
    <w:rsid w:val="00100E3E"/>
    <w:rsid w:val="00101288"/>
    <w:rsid w:val="00101852"/>
    <w:rsid w:val="001033F4"/>
    <w:rsid w:val="00103B81"/>
    <w:rsid w:val="00107C42"/>
    <w:rsid w:val="00113D48"/>
    <w:rsid w:val="00114094"/>
    <w:rsid w:val="001140C3"/>
    <w:rsid w:val="00117CBD"/>
    <w:rsid w:val="001202C3"/>
    <w:rsid w:val="001211FA"/>
    <w:rsid w:val="00122F91"/>
    <w:rsid w:val="00123B55"/>
    <w:rsid w:val="00124237"/>
    <w:rsid w:val="00124DCA"/>
    <w:rsid w:val="0013165A"/>
    <w:rsid w:val="00131D5C"/>
    <w:rsid w:val="00132FAE"/>
    <w:rsid w:val="00132FB2"/>
    <w:rsid w:val="001345AD"/>
    <w:rsid w:val="001375F5"/>
    <w:rsid w:val="00141463"/>
    <w:rsid w:val="00141F14"/>
    <w:rsid w:val="001434A9"/>
    <w:rsid w:val="001440B8"/>
    <w:rsid w:val="00144CB4"/>
    <w:rsid w:val="00146B94"/>
    <w:rsid w:val="001472B8"/>
    <w:rsid w:val="001510CB"/>
    <w:rsid w:val="001515C6"/>
    <w:rsid w:val="0015161A"/>
    <w:rsid w:val="001524E9"/>
    <w:rsid w:val="0015512B"/>
    <w:rsid w:val="0016038A"/>
    <w:rsid w:val="00160F92"/>
    <w:rsid w:val="00161FA0"/>
    <w:rsid w:val="00165888"/>
    <w:rsid w:val="00166CA6"/>
    <w:rsid w:val="00167304"/>
    <w:rsid w:val="0017246F"/>
    <w:rsid w:val="00172630"/>
    <w:rsid w:val="00173B25"/>
    <w:rsid w:val="00175384"/>
    <w:rsid w:val="001808A0"/>
    <w:rsid w:val="0018183D"/>
    <w:rsid w:val="00182A97"/>
    <w:rsid w:val="0018601D"/>
    <w:rsid w:val="00187940"/>
    <w:rsid w:val="00187FA0"/>
    <w:rsid w:val="001902EF"/>
    <w:rsid w:val="001911F7"/>
    <w:rsid w:val="0019309E"/>
    <w:rsid w:val="00193AC1"/>
    <w:rsid w:val="00194CB5"/>
    <w:rsid w:val="00195039"/>
    <w:rsid w:val="001962F1"/>
    <w:rsid w:val="00196385"/>
    <w:rsid w:val="0019744E"/>
    <w:rsid w:val="001A00CE"/>
    <w:rsid w:val="001A0B09"/>
    <w:rsid w:val="001A2E2B"/>
    <w:rsid w:val="001A37C4"/>
    <w:rsid w:val="001A501D"/>
    <w:rsid w:val="001A59E4"/>
    <w:rsid w:val="001A5B69"/>
    <w:rsid w:val="001B0037"/>
    <w:rsid w:val="001B0CEB"/>
    <w:rsid w:val="001B1EEF"/>
    <w:rsid w:val="001B2889"/>
    <w:rsid w:val="001B532A"/>
    <w:rsid w:val="001B5837"/>
    <w:rsid w:val="001B68EF"/>
    <w:rsid w:val="001B6F99"/>
    <w:rsid w:val="001C0234"/>
    <w:rsid w:val="001C0449"/>
    <w:rsid w:val="001C1FBE"/>
    <w:rsid w:val="001C2F5A"/>
    <w:rsid w:val="001C4FC4"/>
    <w:rsid w:val="001C593E"/>
    <w:rsid w:val="001C736F"/>
    <w:rsid w:val="001D1C20"/>
    <w:rsid w:val="001D2B6A"/>
    <w:rsid w:val="001D61C7"/>
    <w:rsid w:val="001E167F"/>
    <w:rsid w:val="001E2F6F"/>
    <w:rsid w:val="001E4309"/>
    <w:rsid w:val="001E5594"/>
    <w:rsid w:val="001F16B9"/>
    <w:rsid w:val="001F2FFC"/>
    <w:rsid w:val="001F3916"/>
    <w:rsid w:val="001F4C02"/>
    <w:rsid w:val="001F4C3B"/>
    <w:rsid w:val="001F620F"/>
    <w:rsid w:val="001F6D78"/>
    <w:rsid w:val="00201BC6"/>
    <w:rsid w:val="00202230"/>
    <w:rsid w:val="0020402F"/>
    <w:rsid w:val="0020448F"/>
    <w:rsid w:val="00205530"/>
    <w:rsid w:val="002103B8"/>
    <w:rsid w:val="00212FAF"/>
    <w:rsid w:val="0021405B"/>
    <w:rsid w:val="00214A8B"/>
    <w:rsid w:val="00216E49"/>
    <w:rsid w:val="002179B9"/>
    <w:rsid w:val="00217ABA"/>
    <w:rsid w:val="00217DFB"/>
    <w:rsid w:val="0022013A"/>
    <w:rsid w:val="00220D61"/>
    <w:rsid w:val="00222EBB"/>
    <w:rsid w:val="00226FAE"/>
    <w:rsid w:val="002274B7"/>
    <w:rsid w:val="00232562"/>
    <w:rsid w:val="002328F9"/>
    <w:rsid w:val="0023586A"/>
    <w:rsid w:val="0023793A"/>
    <w:rsid w:val="002400DC"/>
    <w:rsid w:val="002404AA"/>
    <w:rsid w:val="00240CE4"/>
    <w:rsid w:val="00240ECD"/>
    <w:rsid w:val="00242347"/>
    <w:rsid w:val="00242550"/>
    <w:rsid w:val="00242D40"/>
    <w:rsid w:val="00244269"/>
    <w:rsid w:val="002455A9"/>
    <w:rsid w:val="00247A84"/>
    <w:rsid w:val="00250C13"/>
    <w:rsid w:val="00250CA7"/>
    <w:rsid w:val="0025371A"/>
    <w:rsid w:val="0025581E"/>
    <w:rsid w:val="00255836"/>
    <w:rsid w:val="00257135"/>
    <w:rsid w:val="00257456"/>
    <w:rsid w:val="00257806"/>
    <w:rsid w:val="00261A2B"/>
    <w:rsid w:val="00262B5C"/>
    <w:rsid w:val="00264168"/>
    <w:rsid w:val="00264FB2"/>
    <w:rsid w:val="002714B3"/>
    <w:rsid w:val="00274400"/>
    <w:rsid w:val="00277437"/>
    <w:rsid w:val="00283EDB"/>
    <w:rsid w:val="002868E5"/>
    <w:rsid w:val="002870FA"/>
    <w:rsid w:val="00291185"/>
    <w:rsid w:val="00292E61"/>
    <w:rsid w:val="0029453D"/>
    <w:rsid w:val="00294B2D"/>
    <w:rsid w:val="00294FDC"/>
    <w:rsid w:val="002955CE"/>
    <w:rsid w:val="002956BD"/>
    <w:rsid w:val="002962F0"/>
    <w:rsid w:val="00297479"/>
    <w:rsid w:val="002A19D8"/>
    <w:rsid w:val="002A31B9"/>
    <w:rsid w:val="002A3D5A"/>
    <w:rsid w:val="002A4405"/>
    <w:rsid w:val="002A613F"/>
    <w:rsid w:val="002B0FCD"/>
    <w:rsid w:val="002B1F6E"/>
    <w:rsid w:val="002B2A0E"/>
    <w:rsid w:val="002B2B5A"/>
    <w:rsid w:val="002B2DDE"/>
    <w:rsid w:val="002B353D"/>
    <w:rsid w:val="002B3F38"/>
    <w:rsid w:val="002B4057"/>
    <w:rsid w:val="002B4C83"/>
    <w:rsid w:val="002B79AC"/>
    <w:rsid w:val="002C1521"/>
    <w:rsid w:val="002C44FA"/>
    <w:rsid w:val="002D0EAF"/>
    <w:rsid w:val="002D6A5C"/>
    <w:rsid w:val="002E0102"/>
    <w:rsid w:val="002E1AB9"/>
    <w:rsid w:val="002E24E4"/>
    <w:rsid w:val="002E35FB"/>
    <w:rsid w:val="002E40BE"/>
    <w:rsid w:val="002E4F7B"/>
    <w:rsid w:val="002E566B"/>
    <w:rsid w:val="002F1089"/>
    <w:rsid w:val="002F7078"/>
    <w:rsid w:val="00302175"/>
    <w:rsid w:val="00302510"/>
    <w:rsid w:val="003049BB"/>
    <w:rsid w:val="003059FC"/>
    <w:rsid w:val="0030663B"/>
    <w:rsid w:val="00310833"/>
    <w:rsid w:val="00310C42"/>
    <w:rsid w:val="00313985"/>
    <w:rsid w:val="003161ED"/>
    <w:rsid w:val="003174C2"/>
    <w:rsid w:val="00317B08"/>
    <w:rsid w:val="00320D45"/>
    <w:rsid w:val="00322FCF"/>
    <w:rsid w:val="00327231"/>
    <w:rsid w:val="00327731"/>
    <w:rsid w:val="00330312"/>
    <w:rsid w:val="0033251A"/>
    <w:rsid w:val="00335798"/>
    <w:rsid w:val="00335812"/>
    <w:rsid w:val="003361F0"/>
    <w:rsid w:val="00337668"/>
    <w:rsid w:val="00341A8E"/>
    <w:rsid w:val="00341DDC"/>
    <w:rsid w:val="0034479F"/>
    <w:rsid w:val="003459E4"/>
    <w:rsid w:val="00345CC0"/>
    <w:rsid w:val="0034629A"/>
    <w:rsid w:val="0034678B"/>
    <w:rsid w:val="00347403"/>
    <w:rsid w:val="00351246"/>
    <w:rsid w:val="0035237F"/>
    <w:rsid w:val="003527F2"/>
    <w:rsid w:val="00352B32"/>
    <w:rsid w:val="003546F4"/>
    <w:rsid w:val="0035471D"/>
    <w:rsid w:val="00355E86"/>
    <w:rsid w:val="003562EC"/>
    <w:rsid w:val="00356F0F"/>
    <w:rsid w:val="00357E66"/>
    <w:rsid w:val="003605FB"/>
    <w:rsid w:val="0036150D"/>
    <w:rsid w:val="003630C4"/>
    <w:rsid w:val="0036355C"/>
    <w:rsid w:val="00363FAC"/>
    <w:rsid w:val="00370842"/>
    <w:rsid w:val="00372D6B"/>
    <w:rsid w:val="003744A1"/>
    <w:rsid w:val="00374BE6"/>
    <w:rsid w:val="00375443"/>
    <w:rsid w:val="00375C5A"/>
    <w:rsid w:val="00376018"/>
    <w:rsid w:val="00376E7F"/>
    <w:rsid w:val="00377A9E"/>
    <w:rsid w:val="00380F2F"/>
    <w:rsid w:val="003811EF"/>
    <w:rsid w:val="00381737"/>
    <w:rsid w:val="003833CA"/>
    <w:rsid w:val="00385582"/>
    <w:rsid w:val="003855E8"/>
    <w:rsid w:val="003859CC"/>
    <w:rsid w:val="00385B73"/>
    <w:rsid w:val="0039085C"/>
    <w:rsid w:val="00391836"/>
    <w:rsid w:val="0039231E"/>
    <w:rsid w:val="0039317C"/>
    <w:rsid w:val="003942A1"/>
    <w:rsid w:val="003948D5"/>
    <w:rsid w:val="00397B52"/>
    <w:rsid w:val="00397DF3"/>
    <w:rsid w:val="003A09A6"/>
    <w:rsid w:val="003B4F95"/>
    <w:rsid w:val="003B4FA7"/>
    <w:rsid w:val="003C0D98"/>
    <w:rsid w:val="003C3D96"/>
    <w:rsid w:val="003C4AA1"/>
    <w:rsid w:val="003C5599"/>
    <w:rsid w:val="003C61D3"/>
    <w:rsid w:val="003C696D"/>
    <w:rsid w:val="003C6DFC"/>
    <w:rsid w:val="003C7E3C"/>
    <w:rsid w:val="003D2D7A"/>
    <w:rsid w:val="003D418D"/>
    <w:rsid w:val="003D4923"/>
    <w:rsid w:val="003D751B"/>
    <w:rsid w:val="003E0894"/>
    <w:rsid w:val="003E0B3E"/>
    <w:rsid w:val="003E1821"/>
    <w:rsid w:val="003E33DD"/>
    <w:rsid w:val="003E4150"/>
    <w:rsid w:val="003E4B6C"/>
    <w:rsid w:val="003E5E01"/>
    <w:rsid w:val="003F17BA"/>
    <w:rsid w:val="003F28C0"/>
    <w:rsid w:val="003F28DD"/>
    <w:rsid w:val="003F2929"/>
    <w:rsid w:val="003F3FA0"/>
    <w:rsid w:val="003F47DC"/>
    <w:rsid w:val="00400B41"/>
    <w:rsid w:val="004024F3"/>
    <w:rsid w:val="00402B3F"/>
    <w:rsid w:val="004030BA"/>
    <w:rsid w:val="00403DD4"/>
    <w:rsid w:val="00404288"/>
    <w:rsid w:val="004109C9"/>
    <w:rsid w:val="0041113A"/>
    <w:rsid w:val="004144CD"/>
    <w:rsid w:val="00416651"/>
    <w:rsid w:val="00421DFA"/>
    <w:rsid w:val="00422590"/>
    <w:rsid w:val="00425C22"/>
    <w:rsid w:val="00426E07"/>
    <w:rsid w:val="00430EFA"/>
    <w:rsid w:val="00432A5B"/>
    <w:rsid w:val="00433A6D"/>
    <w:rsid w:val="00433B18"/>
    <w:rsid w:val="00441CDE"/>
    <w:rsid w:val="00441F99"/>
    <w:rsid w:val="00447777"/>
    <w:rsid w:val="00450BC1"/>
    <w:rsid w:val="004512E7"/>
    <w:rsid w:val="00453F07"/>
    <w:rsid w:val="00455817"/>
    <w:rsid w:val="00462BBC"/>
    <w:rsid w:val="00462BCB"/>
    <w:rsid w:val="00463DE7"/>
    <w:rsid w:val="0046502D"/>
    <w:rsid w:val="00470D12"/>
    <w:rsid w:val="00471386"/>
    <w:rsid w:val="0047729F"/>
    <w:rsid w:val="00481711"/>
    <w:rsid w:val="004837B5"/>
    <w:rsid w:val="004851E5"/>
    <w:rsid w:val="00486F3D"/>
    <w:rsid w:val="004907E6"/>
    <w:rsid w:val="00491080"/>
    <w:rsid w:val="00493365"/>
    <w:rsid w:val="004A002F"/>
    <w:rsid w:val="004A0EA7"/>
    <w:rsid w:val="004A1038"/>
    <w:rsid w:val="004A1127"/>
    <w:rsid w:val="004A4B2F"/>
    <w:rsid w:val="004A6458"/>
    <w:rsid w:val="004B1F74"/>
    <w:rsid w:val="004B2610"/>
    <w:rsid w:val="004B2F16"/>
    <w:rsid w:val="004B40BB"/>
    <w:rsid w:val="004B41C9"/>
    <w:rsid w:val="004B5459"/>
    <w:rsid w:val="004B5C7A"/>
    <w:rsid w:val="004B6FC0"/>
    <w:rsid w:val="004C3F72"/>
    <w:rsid w:val="004C4A32"/>
    <w:rsid w:val="004C64C4"/>
    <w:rsid w:val="004D0726"/>
    <w:rsid w:val="004D2B71"/>
    <w:rsid w:val="004D5F52"/>
    <w:rsid w:val="004D79A3"/>
    <w:rsid w:val="004E0D5A"/>
    <w:rsid w:val="004E2B64"/>
    <w:rsid w:val="004E3360"/>
    <w:rsid w:val="004E3479"/>
    <w:rsid w:val="004E3C3F"/>
    <w:rsid w:val="004E607B"/>
    <w:rsid w:val="004F0979"/>
    <w:rsid w:val="004F0D8B"/>
    <w:rsid w:val="004F2D88"/>
    <w:rsid w:val="004F2DE8"/>
    <w:rsid w:val="004F4178"/>
    <w:rsid w:val="004F49B8"/>
    <w:rsid w:val="004F54B6"/>
    <w:rsid w:val="004F5979"/>
    <w:rsid w:val="004F6BAD"/>
    <w:rsid w:val="004F6C34"/>
    <w:rsid w:val="005002CF"/>
    <w:rsid w:val="005018C2"/>
    <w:rsid w:val="005027BB"/>
    <w:rsid w:val="00510A1F"/>
    <w:rsid w:val="005129DF"/>
    <w:rsid w:val="005137BB"/>
    <w:rsid w:val="0051502A"/>
    <w:rsid w:val="00515A67"/>
    <w:rsid w:val="00521ECE"/>
    <w:rsid w:val="00527CD5"/>
    <w:rsid w:val="005322F4"/>
    <w:rsid w:val="00532E14"/>
    <w:rsid w:val="00535611"/>
    <w:rsid w:val="00537711"/>
    <w:rsid w:val="00544299"/>
    <w:rsid w:val="005475E5"/>
    <w:rsid w:val="00547757"/>
    <w:rsid w:val="00550C89"/>
    <w:rsid w:val="005515E7"/>
    <w:rsid w:val="00551673"/>
    <w:rsid w:val="0055192B"/>
    <w:rsid w:val="00552B6E"/>
    <w:rsid w:val="0055300C"/>
    <w:rsid w:val="00554A42"/>
    <w:rsid w:val="0055799F"/>
    <w:rsid w:val="00557C49"/>
    <w:rsid w:val="0056078D"/>
    <w:rsid w:val="00560A74"/>
    <w:rsid w:val="0056189A"/>
    <w:rsid w:val="005618B5"/>
    <w:rsid w:val="00565C27"/>
    <w:rsid w:val="0057783D"/>
    <w:rsid w:val="005823D6"/>
    <w:rsid w:val="00583C34"/>
    <w:rsid w:val="005844C8"/>
    <w:rsid w:val="0058583B"/>
    <w:rsid w:val="005876D9"/>
    <w:rsid w:val="0059128A"/>
    <w:rsid w:val="005945E3"/>
    <w:rsid w:val="00596A6F"/>
    <w:rsid w:val="005A27BB"/>
    <w:rsid w:val="005A2DC3"/>
    <w:rsid w:val="005A3A7A"/>
    <w:rsid w:val="005A4FCD"/>
    <w:rsid w:val="005B099D"/>
    <w:rsid w:val="005B2A51"/>
    <w:rsid w:val="005B304B"/>
    <w:rsid w:val="005B5203"/>
    <w:rsid w:val="005B7388"/>
    <w:rsid w:val="005C1F89"/>
    <w:rsid w:val="005C2DB7"/>
    <w:rsid w:val="005D2F0D"/>
    <w:rsid w:val="005D34CC"/>
    <w:rsid w:val="005D49B7"/>
    <w:rsid w:val="005D4BAC"/>
    <w:rsid w:val="005D5B1B"/>
    <w:rsid w:val="005D6D94"/>
    <w:rsid w:val="005E1E8F"/>
    <w:rsid w:val="005E2746"/>
    <w:rsid w:val="005E6F81"/>
    <w:rsid w:val="005E7DCC"/>
    <w:rsid w:val="005F3FED"/>
    <w:rsid w:val="005F4652"/>
    <w:rsid w:val="005F4AD3"/>
    <w:rsid w:val="005F66E6"/>
    <w:rsid w:val="005F6AC4"/>
    <w:rsid w:val="00600055"/>
    <w:rsid w:val="00602D62"/>
    <w:rsid w:val="00603AD7"/>
    <w:rsid w:val="006048EA"/>
    <w:rsid w:val="00605F3D"/>
    <w:rsid w:val="00607548"/>
    <w:rsid w:val="006103E9"/>
    <w:rsid w:val="00611A2E"/>
    <w:rsid w:val="00614FB6"/>
    <w:rsid w:val="0061539B"/>
    <w:rsid w:val="00623EDD"/>
    <w:rsid w:val="006254F6"/>
    <w:rsid w:val="00625D59"/>
    <w:rsid w:val="006273D6"/>
    <w:rsid w:val="006278C2"/>
    <w:rsid w:val="006279AB"/>
    <w:rsid w:val="00627B12"/>
    <w:rsid w:val="006301C0"/>
    <w:rsid w:val="00636EE3"/>
    <w:rsid w:val="00641F79"/>
    <w:rsid w:val="00642A1A"/>
    <w:rsid w:val="00645001"/>
    <w:rsid w:val="006450DA"/>
    <w:rsid w:val="006464EB"/>
    <w:rsid w:val="006471DD"/>
    <w:rsid w:val="0064734E"/>
    <w:rsid w:val="00651D8E"/>
    <w:rsid w:val="00652E22"/>
    <w:rsid w:val="00656323"/>
    <w:rsid w:val="00661E86"/>
    <w:rsid w:val="00662852"/>
    <w:rsid w:val="00664131"/>
    <w:rsid w:val="00665B87"/>
    <w:rsid w:val="006702BE"/>
    <w:rsid w:val="00674625"/>
    <w:rsid w:val="00675803"/>
    <w:rsid w:val="00676E76"/>
    <w:rsid w:val="00677C4B"/>
    <w:rsid w:val="006834FA"/>
    <w:rsid w:val="00684251"/>
    <w:rsid w:val="006859E9"/>
    <w:rsid w:val="00686855"/>
    <w:rsid w:val="0068785D"/>
    <w:rsid w:val="00691685"/>
    <w:rsid w:val="00691F62"/>
    <w:rsid w:val="00692508"/>
    <w:rsid w:val="006930F3"/>
    <w:rsid w:val="00694849"/>
    <w:rsid w:val="006948FC"/>
    <w:rsid w:val="00696742"/>
    <w:rsid w:val="00697F4B"/>
    <w:rsid w:val="006A0387"/>
    <w:rsid w:val="006A0943"/>
    <w:rsid w:val="006A3CAD"/>
    <w:rsid w:val="006A6664"/>
    <w:rsid w:val="006B3C4E"/>
    <w:rsid w:val="006B4B0B"/>
    <w:rsid w:val="006B514E"/>
    <w:rsid w:val="006B5737"/>
    <w:rsid w:val="006B5A67"/>
    <w:rsid w:val="006B7292"/>
    <w:rsid w:val="006B7A36"/>
    <w:rsid w:val="006C0751"/>
    <w:rsid w:val="006C1F07"/>
    <w:rsid w:val="006C3010"/>
    <w:rsid w:val="006C485A"/>
    <w:rsid w:val="006C521A"/>
    <w:rsid w:val="006C5744"/>
    <w:rsid w:val="006C5959"/>
    <w:rsid w:val="006D00BE"/>
    <w:rsid w:val="006D10C6"/>
    <w:rsid w:val="006D1883"/>
    <w:rsid w:val="006D7281"/>
    <w:rsid w:val="006E0DEE"/>
    <w:rsid w:val="006E5129"/>
    <w:rsid w:val="006E6854"/>
    <w:rsid w:val="006E73DF"/>
    <w:rsid w:val="006F1F98"/>
    <w:rsid w:val="006F2EBE"/>
    <w:rsid w:val="006F339C"/>
    <w:rsid w:val="006F696A"/>
    <w:rsid w:val="00700012"/>
    <w:rsid w:val="007003B4"/>
    <w:rsid w:val="007003EE"/>
    <w:rsid w:val="00700F8F"/>
    <w:rsid w:val="00702FBF"/>
    <w:rsid w:val="00703E59"/>
    <w:rsid w:val="0070578D"/>
    <w:rsid w:val="00705E34"/>
    <w:rsid w:val="00707FA9"/>
    <w:rsid w:val="00711612"/>
    <w:rsid w:val="00714303"/>
    <w:rsid w:val="00714A4E"/>
    <w:rsid w:val="007172A1"/>
    <w:rsid w:val="007177E6"/>
    <w:rsid w:val="007234E9"/>
    <w:rsid w:val="007263EA"/>
    <w:rsid w:val="00727A00"/>
    <w:rsid w:val="00730478"/>
    <w:rsid w:val="00731AD7"/>
    <w:rsid w:val="00733123"/>
    <w:rsid w:val="007360DB"/>
    <w:rsid w:val="00736A88"/>
    <w:rsid w:val="00737156"/>
    <w:rsid w:val="007375C4"/>
    <w:rsid w:val="0074233D"/>
    <w:rsid w:val="00742BEE"/>
    <w:rsid w:val="00744FEC"/>
    <w:rsid w:val="007461F1"/>
    <w:rsid w:val="00746A5C"/>
    <w:rsid w:val="00747419"/>
    <w:rsid w:val="00754634"/>
    <w:rsid w:val="007548E5"/>
    <w:rsid w:val="00756C58"/>
    <w:rsid w:val="00756C8D"/>
    <w:rsid w:val="00756EAE"/>
    <w:rsid w:val="00756EE8"/>
    <w:rsid w:val="007603C7"/>
    <w:rsid w:val="00760E40"/>
    <w:rsid w:val="0076186F"/>
    <w:rsid w:val="007646B4"/>
    <w:rsid w:val="00765A89"/>
    <w:rsid w:val="007672C9"/>
    <w:rsid w:val="0077779A"/>
    <w:rsid w:val="0078060A"/>
    <w:rsid w:val="00787BFC"/>
    <w:rsid w:val="00794802"/>
    <w:rsid w:val="00795A99"/>
    <w:rsid w:val="00795BE2"/>
    <w:rsid w:val="00795C5D"/>
    <w:rsid w:val="0079690F"/>
    <w:rsid w:val="00796F55"/>
    <w:rsid w:val="00797CFF"/>
    <w:rsid w:val="007A0FBC"/>
    <w:rsid w:val="007A261C"/>
    <w:rsid w:val="007A3C0E"/>
    <w:rsid w:val="007A4234"/>
    <w:rsid w:val="007A4AE6"/>
    <w:rsid w:val="007A53F1"/>
    <w:rsid w:val="007A5D3A"/>
    <w:rsid w:val="007B0048"/>
    <w:rsid w:val="007B1BBF"/>
    <w:rsid w:val="007B3A09"/>
    <w:rsid w:val="007B5F20"/>
    <w:rsid w:val="007B7263"/>
    <w:rsid w:val="007C0CC7"/>
    <w:rsid w:val="007C0E0D"/>
    <w:rsid w:val="007C166B"/>
    <w:rsid w:val="007C500E"/>
    <w:rsid w:val="007C5467"/>
    <w:rsid w:val="007D0264"/>
    <w:rsid w:val="007D0D3C"/>
    <w:rsid w:val="007D279A"/>
    <w:rsid w:val="007D3990"/>
    <w:rsid w:val="007D3C89"/>
    <w:rsid w:val="007D3D52"/>
    <w:rsid w:val="007D5101"/>
    <w:rsid w:val="007D6087"/>
    <w:rsid w:val="007D6DAA"/>
    <w:rsid w:val="007E039C"/>
    <w:rsid w:val="007E0E90"/>
    <w:rsid w:val="007E1561"/>
    <w:rsid w:val="007E1EB0"/>
    <w:rsid w:val="007E2477"/>
    <w:rsid w:val="007E2FDE"/>
    <w:rsid w:val="007E49A2"/>
    <w:rsid w:val="007E4FC2"/>
    <w:rsid w:val="007E5676"/>
    <w:rsid w:val="007E5EFD"/>
    <w:rsid w:val="007E76EE"/>
    <w:rsid w:val="007F314B"/>
    <w:rsid w:val="007F6B37"/>
    <w:rsid w:val="00802124"/>
    <w:rsid w:val="008038A7"/>
    <w:rsid w:val="0080782D"/>
    <w:rsid w:val="008106E8"/>
    <w:rsid w:val="00811E7D"/>
    <w:rsid w:val="00814585"/>
    <w:rsid w:val="0081519A"/>
    <w:rsid w:val="00817C95"/>
    <w:rsid w:val="0082000C"/>
    <w:rsid w:val="0082004B"/>
    <w:rsid w:val="00820203"/>
    <w:rsid w:val="008202A3"/>
    <w:rsid w:val="008208FE"/>
    <w:rsid w:val="008209A1"/>
    <w:rsid w:val="00822B94"/>
    <w:rsid w:val="00822BBE"/>
    <w:rsid w:val="00823032"/>
    <w:rsid w:val="008230E5"/>
    <w:rsid w:val="008244CB"/>
    <w:rsid w:val="008274F6"/>
    <w:rsid w:val="00827709"/>
    <w:rsid w:val="0083103E"/>
    <w:rsid w:val="00835B66"/>
    <w:rsid w:val="00836A90"/>
    <w:rsid w:val="00843CA9"/>
    <w:rsid w:val="008445CE"/>
    <w:rsid w:val="008502D6"/>
    <w:rsid w:val="0085049E"/>
    <w:rsid w:val="00851E76"/>
    <w:rsid w:val="00852A82"/>
    <w:rsid w:val="0085333A"/>
    <w:rsid w:val="008537BF"/>
    <w:rsid w:val="00853E06"/>
    <w:rsid w:val="0085510B"/>
    <w:rsid w:val="00855C32"/>
    <w:rsid w:val="00856412"/>
    <w:rsid w:val="0086198F"/>
    <w:rsid w:val="00864532"/>
    <w:rsid w:val="00867A9C"/>
    <w:rsid w:val="00867CAD"/>
    <w:rsid w:val="008721FA"/>
    <w:rsid w:val="00873118"/>
    <w:rsid w:val="008732A3"/>
    <w:rsid w:val="008743DC"/>
    <w:rsid w:val="0087469F"/>
    <w:rsid w:val="008777B1"/>
    <w:rsid w:val="00877B4E"/>
    <w:rsid w:val="00877EEE"/>
    <w:rsid w:val="00880FFC"/>
    <w:rsid w:val="008847E1"/>
    <w:rsid w:val="0088570A"/>
    <w:rsid w:val="0088600D"/>
    <w:rsid w:val="008863C1"/>
    <w:rsid w:val="008900EC"/>
    <w:rsid w:val="00890FB2"/>
    <w:rsid w:val="0089198D"/>
    <w:rsid w:val="00893581"/>
    <w:rsid w:val="00893963"/>
    <w:rsid w:val="00895EBE"/>
    <w:rsid w:val="008962DC"/>
    <w:rsid w:val="00897C4D"/>
    <w:rsid w:val="008A17B3"/>
    <w:rsid w:val="008A20C9"/>
    <w:rsid w:val="008A23E8"/>
    <w:rsid w:val="008A2E77"/>
    <w:rsid w:val="008A3C7D"/>
    <w:rsid w:val="008A7D2B"/>
    <w:rsid w:val="008B2314"/>
    <w:rsid w:val="008B2C9F"/>
    <w:rsid w:val="008B4798"/>
    <w:rsid w:val="008B57FE"/>
    <w:rsid w:val="008B67CC"/>
    <w:rsid w:val="008B7821"/>
    <w:rsid w:val="008C10C7"/>
    <w:rsid w:val="008C3089"/>
    <w:rsid w:val="008C4833"/>
    <w:rsid w:val="008C5E98"/>
    <w:rsid w:val="008C602F"/>
    <w:rsid w:val="008C6A5E"/>
    <w:rsid w:val="008D1916"/>
    <w:rsid w:val="008D2B00"/>
    <w:rsid w:val="008D57DB"/>
    <w:rsid w:val="008E027A"/>
    <w:rsid w:val="008E02E3"/>
    <w:rsid w:val="008E146C"/>
    <w:rsid w:val="008E4410"/>
    <w:rsid w:val="008E4D1E"/>
    <w:rsid w:val="008E52B8"/>
    <w:rsid w:val="008E77F4"/>
    <w:rsid w:val="008F14F6"/>
    <w:rsid w:val="008F1B31"/>
    <w:rsid w:val="008F1EB6"/>
    <w:rsid w:val="008F23B4"/>
    <w:rsid w:val="008F2D1C"/>
    <w:rsid w:val="008F38B3"/>
    <w:rsid w:val="00903612"/>
    <w:rsid w:val="00903F8F"/>
    <w:rsid w:val="0090600E"/>
    <w:rsid w:val="00906DD1"/>
    <w:rsid w:val="00913C06"/>
    <w:rsid w:val="00914F94"/>
    <w:rsid w:val="00916000"/>
    <w:rsid w:val="00921D97"/>
    <w:rsid w:val="00922BA4"/>
    <w:rsid w:val="00923FFC"/>
    <w:rsid w:val="00925C45"/>
    <w:rsid w:val="009270E9"/>
    <w:rsid w:val="00927C89"/>
    <w:rsid w:val="009329BA"/>
    <w:rsid w:val="009355CC"/>
    <w:rsid w:val="00935E8E"/>
    <w:rsid w:val="00936755"/>
    <w:rsid w:val="00940800"/>
    <w:rsid w:val="00943159"/>
    <w:rsid w:val="009440B8"/>
    <w:rsid w:val="00945BFA"/>
    <w:rsid w:val="00945EFA"/>
    <w:rsid w:val="00947F6C"/>
    <w:rsid w:val="009510F3"/>
    <w:rsid w:val="0095166D"/>
    <w:rsid w:val="009531CC"/>
    <w:rsid w:val="00953BC0"/>
    <w:rsid w:val="00953F20"/>
    <w:rsid w:val="009571C3"/>
    <w:rsid w:val="00962635"/>
    <w:rsid w:val="009626ED"/>
    <w:rsid w:val="0096486B"/>
    <w:rsid w:val="00967977"/>
    <w:rsid w:val="00967B99"/>
    <w:rsid w:val="00967D4A"/>
    <w:rsid w:val="00970E26"/>
    <w:rsid w:val="0097100A"/>
    <w:rsid w:val="00971CFA"/>
    <w:rsid w:val="009726C8"/>
    <w:rsid w:val="009730B6"/>
    <w:rsid w:val="0097673D"/>
    <w:rsid w:val="0097751C"/>
    <w:rsid w:val="00980CBF"/>
    <w:rsid w:val="00981B14"/>
    <w:rsid w:val="00982A10"/>
    <w:rsid w:val="009851C1"/>
    <w:rsid w:val="00986516"/>
    <w:rsid w:val="009900D2"/>
    <w:rsid w:val="00992B42"/>
    <w:rsid w:val="00994959"/>
    <w:rsid w:val="00994A58"/>
    <w:rsid w:val="00994FFD"/>
    <w:rsid w:val="00995A97"/>
    <w:rsid w:val="0099627C"/>
    <w:rsid w:val="0099769A"/>
    <w:rsid w:val="009A081B"/>
    <w:rsid w:val="009A17EB"/>
    <w:rsid w:val="009A19B2"/>
    <w:rsid w:val="009A2ED0"/>
    <w:rsid w:val="009A4981"/>
    <w:rsid w:val="009A63B2"/>
    <w:rsid w:val="009B12C3"/>
    <w:rsid w:val="009B300E"/>
    <w:rsid w:val="009B3DE8"/>
    <w:rsid w:val="009B62C8"/>
    <w:rsid w:val="009C0DA0"/>
    <w:rsid w:val="009C1B48"/>
    <w:rsid w:val="009C2879"/>
    <w:rsid w:val="009C405F"/>
    <w:rsid w:val="009C511F"/>
    <w:rsid w:val="009C6490"/>
    <w:rsid w:val="009C655E"/>
    <w:rsid w:val="009C6E76"/>
    <w:rsid w:val="009D1E9E"/>
    <w:rsid w:val="009D7112"/>
    <w:rsid w:val="009D722D"/>
    <w:rsid w:val="009F2C1E"/>
    <w:rsid w:val="009F49C9"/>
    <w:rsid w:val="009F4B3A"/>
    <w:rsid w:val="009F56F5"/>
    <w:rsid w:val="009F5A11"/>
    <w:rsid w:val="009F7B52"/>
    <w:rsid w:val="00A02A55"/>
    <w:rsid w:val="00A05CD2"/>
    <w:rsid w:val="00A10881"/>
    <w:rsid w:val="00A11037"/>
    <w:rsid w:val="00A132B5"/>
    <w:rsid w:val="00A13844"/>
    <w:rsid w:val="00A13AF5"/>
    <w:rsid w:val="00A161AD"/>
    <w:rsid w:val="00A16578"/>
    <w:rsid w:val="00A200C6"/>
    <w:rsid w:val="00A21065"/>
    <w:rsid w:val="00A27EB1"/>
    <w:rsid w:val="00A30A9B"/>
    <w:rsid w:val="00A32FBD"/>
    <w:rsid w:val="00A350AE"/>
    <w:rsid w:val="00A35DB4"/>
    <w:rsid w:val="00A35FF3"/>
    <w:rsid w:val="00A37294"/>
    <w:rsid w:val="00A37E53"/>
    <w:rsid w:val="00A37FED"/>
    <w:rsid w:val="00A41061"/>
    <w:rsid w:val="00A41D99"/>
    <w:rsid w:val="00A42E82"/>
    <w:rsid w:val="00A43BCD"/>
    <w:rsid w:val="00A441E9"/>
    <w:rsid w:val="00A5089C"/>
    <w:rsid w:val="00A52DCC"/>
    <w:rsid w:val="00A549DC"/>
    <w:rsid w:val="00A54D8A"/>
    <w:rsid w:val="00A55E4A"/>
    <w:rsid w:val="00A56317"/>
    <w:rsid w:val="00A5653D"/>
    <w:rsid w:val="00A56C44"/>
    <w:rsid w:val="00A5741E"/>
    <w:rsid w:val="00A630A3"/>
    <w:rsid w:val="00A634DC"/>
    <w:rsid w:val="00A63F81"/>
    <w:rsid w:val="00A63FE3"/>
    <w:rsid w:val="00A648CB"/>
    <w:rsid w:val="00A718A1"/>
    <w:rsid w:val="00A74BA4"/>
    <w:rsid w:val="00A76709"/>
    <w:rsid w:val="00A8201F"/>
    <w:rsid w:val="00A826CA"/>
    <w:rsid w:val="00A83E9A"/>
    <w:rsid w:val="00A84AEE"/>
    <w:rsid w:val="00A86EB0"/>
    <w:rsid w:val="00A872BC"/>
    <w:rsid w:val="00A87EA5"/>
    <w:rsid w:val="00A87F8D"/>
    <w:rsid w:val="00A9252B"/>
    <w:rsid w:val="00A94071"/>
    <w:rsid w:val="00A9487F"/>
    <w:rsid w:val="00A9677E"/>
    <w:rsid w:val="00A9714F"/>
    <w:rsid w:val="00AA219E"/>
    <w:rsid w:val="00AA3BCA"/>
    <w:rsid w:val="00AA6620"/>
    <w:rsid w:val="00AB1722"/>
    <w:rsid w:val="00AB26A3"/>
    <w:rsid w:val="00AB3108"/>
    <w:rsid w:val="00AB5F62"/>
    <w:rsid w:val="00AB72CB"/>
    <w:rsid w:val="00AC15AB"/>
    <w:rsid w:val="00AC15B8"/>
    <w:rsid w:val="00AC1C3B"/>
    <w:rsid w:val="00AC3B3E"/>
    <w:rsid w:val="00AC4EB7"/>
    <w:rsid w:val="00AC4F06"/>
    <w:rsid w:val="00AC509F"/>
    <w:rsid w:val="00AC5372"/>
    <w:rsid w:val="00AC6DF7"/>
    <w:rsid w:val="00AD0830"/>
    <w:rsid w:val="00AD1958"/>
    <w:rsid w:val="00AD1D25"/>
    <w:rsid w:val="00AD435B"/>
    <w:rsid w:val="00AD649A"/>
    <w:rsid w:val="00AD7078"/>
    <w:rsid w:val="00AD74DD"/>
    <w:rsid w:val="00AE2E8D"/>
    <w:rsid w:val="00AE2EF3"/>
    <w:rsid w:val="00AE5348"/>
    <w:rsid w:val="00AE665B"/>
    <w:rsid w:val="00AE6DF9"/>
    <w:rsid w:val="00AF4D0C"/>
    <w:rsid w:val="00B0015C"/>
    <w:rsid w:val="00B00255"/>
    <w:rsid w:val="00B0083F"/>
    <w:rsid w:val="00B01CF0"/>
    <w:rsid w:val="00B03B5E"/>
    <w:rsid w:val="00B050FB"/>
    <w:rsid w:val="00B066D5"/>
    <w:rsid w:val="00B06B97"/>
    <w:rsid w:val="00B10031"/>
    <w:rsid w:val="00B1021E"/>
    <w:rsid w:val="00B11085"/>
    <w:rsid w:val="00B12197"/>
    <w:rsid w:val="00B14397"/>
    <w:rsid w:val="00B159B4"/>
    <w:rsid w:val="00B21FCD"/>
    <w:rsid w:val="00B22A2E"/>
    <w:rsid w:val="00B24B96"/>
    <w:rsid w:val="00B25BC7"/>
    <w:rsid w:val="00B25DD0"/>
    <w:rsid w:val="00B269BD"/>
    <w:rsid w:val="00B26F9F"/>
    <w:rsid w:val="00B34BC9"/>
    <w:rsid w:val="00B34DD2"/>
    <w:rsid w:val="00B360EE"/>
    <w:rsid w:val="00B4186F"/>
    <w:rsid w:val="00B527DC"/>
    <w:rsid w:val="00B54343"/>
    <w:rsid w:val="00B568A2"/>
    <w:rsid w:val="00B579FE"/>
    <w:rsid w:val="00B65B05"/>
    <w:rsid w:val="00B66561"/>
    <w:rsid w:val="00B67C7D"/>
    <w:rsid w:val="00B71C7E"/>
    <w:rsid w:val="00B75564"/>
    <w:rsid w:val="00B77D00"/>
    <w:rsid w:val="00B80391"/>
    <w:rsid w:val="00B821AE"/>
    <w:rsid w:val="00B8622F"/>
    <w:rsid w:val="00B86BD0"/>
    <w:rsid w:val="00B87413"/>
    <w:rsid w:val="00B87EA2"/>
    <w:rsid w:val="00B92C00"/>
    <w:rsid w:val="00B94DF8"/>
    <w:rsid w:val="00B958ED"/>
    <w:rsid w:val="00B95E94"/>
    <w:rsid w:val="00B964AE"/>
    <w:rsid w:val="00B97055"/>
    <w:rsid w:val="00B97A22"/>
    <w:rsid w:val="00BA095E"/>
    <w:rsid w:val="00BA1840"/>
    <w:rsid w:val="00BA5362"/>
    <w:rsid w:val="00BA56AE"/>
    <w:rsid w:val="00BA68DD"/>
    <w:rsid w:val="00BB0546"/>
    <w:rsid w:val="00BB1AF8"/>
    <w:rsid w:val="00BB1DF8"/>
    <w:rsid w:val="00BB3B32"/>
    <w:rsid w:val="00BB3C2A"/>
    <w:rsid w:val="00BB6099"/>
    <w:rsid w:val="00BB6D44"/>
    <w:rsid w:val="00BB77D1"/>
    <w:rsid w:val="00BC06C5"/>
    <w:rsid w:val="00BC1366"/>
    <w:rsid w:val="00BC24BA"/>
    <w:rsid w:val="00BC3C22"/>
    <w:rsid w:val="00BC56DF"/>
    <w:rsid w:val="00BC5C14"/>
    <w:rsid w:val="00BC67A9"/>
    <w:rsid w:val="00BC6D40"/>
    <w:rsid w:val="00BD3F44"/>
    <w:rsid w:val="00BD558F"/>
    <w:rsid w:val="00BD7A8C"/>
    <w:rsid w:val="00BD7CBD"/>
    <w:rsid w:val="00BE1187"/>
    <w:rsid w:val="00BE380B"/>
    <w:rsid w:val="00BE422A"/>
    <w:rsid w:val="00BE42CF"/>
    <w:rsid w:val="00BF520C"/>
    <w:rsid w:val="00BF629B"/>
    <w:rsid w:val="00BF6D64"/>
    <w:rsid w:val="00C0044A"/>
    <w:rsid w:val="00C00D31"/>
    <w:rsid w:val="00C0224A"/>
    <w:rsid w:val="00C025A7"/>
    <w:rsid w:val="00C0370B"/>
    <w:rsid w:val="00C039F0"/>
    <w:rsid w:val="00C03C67"/>
    <w:rsid w:val="00C07880"/>
    <w:rsid w:val="00C127A7"/>
    <w:rsid w:val="00C127E2"/>
    <w:rsid w:val="00C13D83"/>
    <w:rsid w:val="00C14144"/>
    <w:rsid w:val="00C1671C"/>
    <w:rsid w:val="00C17F2B"/>
    <w:rsid w:val="00C203FA"/>
    <w:rsid w:val="00C21BDE"/>
    <w:rsid w:val="00C2201C"/>
    <w:rsid w:val="00C26DA3"/>
    <w:rsid w:val="00C30B1F"/>
    <w:rsid w:val="00C316C4"/>
    <w:rsid w:val="00C368FB"/>
    <w:rsid w:val="00C37683"/>
    <w:rsid w:val="00C44141"/>
    <w:rsid w:val="00C451A7"/>
    <w:rsid w:val="00C4596D"/>
    <w:rsid w:val="00C45FCB"/>
    <w:rsid w:val="00C46601"/>
    <w:rsid w:val="00C46C74"/>
    <w:rsid w:val="00C46D03"/>
    <w:rsid w:val="00C478E5"/>
    <w:rsid w:val="00C47DDC"/>
    <w:rsid w:val="00C512A3"/>
    <w:rsid w:val="00C52392"/>
    <w:rsid w:val="00C52727"/>
    <w:rsid w:val="00C528DF"/>
    <w:rsid w:val="00C53F1E"/>
    <w:rsid w:val="00C54EE7"/>
    <w:rsid w:val="00C557D9"/>
    <w:rsid w:val="00C56053"/>
    <w:rsid w:val="00C56A9E"/>
    <w:rsid w:val="00C60DC3"/>
    <w:rsid w:val="00C6167F"/>
    <w:rsid w:val="00C64D4E"/>
    <w:rsid w:val="00C65BE7"/>
    <w:rsid w:val="00C65F3D"/>
    <w:rsid w:val="00C66BBD"/>
    <w:rsid w:val="00C67E2D"/>
    <w:rsid w:val="00C7183A"/>
    <w:rsid w:val="00C71F9B"/>
    <w:rsid w:val="00C72F80"/>
    <w:rsid w:val="00C744B9"/>
    <w:rsid w:val="00C80AA9"/>
    <w:rsid w:val="00C826A3"/>
    <w:rsid w:val="00C8335C"/>
    <w:rsid w:val="00C833F7"/>
    <w:rsid w:val="00C83C73"/>
    <w:rsid w:val="00C85DD6"/>
    <w:rsid w:val="00C9078B"/>
    <w:rsid w:val="00C91113"/>
    <w:rsid w:val="00C91DD2"/>
    <w:rsid w:val="00C92310"/>
    <w:rsid w:val="00C93198"/>
    <w:rsid w:val="00C951D8"/>
    <w:rsid w:val="00C956FD"/>
    <w:rsid w:val="00C96870"/>
    <w:rsid w:val="00CA00CF"/>
    <w:rsid w:val="00CA176E"/>
    <w:rsid w:val="00CA4793"/>
    <w:rsid w:val="00CA5703"/>
    <w:rsid w:val="00CA57DA"/>
    <w:rsid w:val="00CB7AB6"/>
    <w:rsid w:val="00CC0B88"/>
    <w:rsid w:val="00CC1633"/>
    <w:rsid w:val="00CC2A26"/>
    <w:rsid w:val="00CC3ABA"/>
    <w:rsid w:val="00CC465C"/>
    <w:rsid w:val="00CC517C"/>
    <w:rsid w:val="00CC5780"/>
    <w:rsid w:val="00CC5885"/>
    <w:rsid w:val="00CC6304"/>
    <w:rsid w:val="00CC6971"/>
    <w:rsid w:val="00CD12F3"/>
    <w:rsid w:val="00CD2281"/>
    <w:rsid w:val="00CD3C60"/>
    <w:rsid w:val="00CD456A"/>
    <w:rsid w:val="00CD60D6"/>
    <w:rsid w:val="00CD622E"/>
    <w:rsid w:val="00CD6FF3"/>
    <w:rsid w:val="00CE101D"/>
    <w:rsid w:val="00CE1B8C"/>
    <w:rsid w:val="00CE1CE1"/>
    <w:rsid w:val="00CE3386"/>
    <w:rsid w:val="00CE6788"/>
    <w:rsid w:val="00CE7339"/>
    <w:rsid w:val="00CF1C61"/>
    <w:rsid w:val="00CF2696"/>
    <w:rsid w:val="00CF4ABE"/>
    <w:rsid w:val="00CF60D1"/>
    <w:rsid w:val="00CF7F9D"/>
    <w:rsid w:val="00D005A6"/>
    <w:rsid w:val="00D0103E"/>
    <w:rsid w:val="00D0240D"/>
    <w:rsid w:val="00D07FC5"/>
    <w:rsid w:val="00D11674"/>
    <w:rsid w:val="00D127A4"/>
    <w:rsid w:val="00D12C79"/>
    <w:rsid w:val="00D12D6C"/>
    <w:rsid w:val="00D1303B"/>
    <w:rsid w:val="00D15DA7"/>
    <w:rsid w:val="00D163A1"/>
    <w:rsid w:val="00D2119C"/>
    <w:rsid w:val="00D21403"/>
    <w:rsid w:val="00D21A31"/>
    <w:rsid w:val="00D229BB"/>
    <w:rsid w:val="00D229E1"/>
    <w:rsid w:val="00D23385"/>
    <w:rsid w:val="00D23FB1"/>
    <w:rsid w:val="00D24D01"/>
    <w:rsid w:val="00D2690B"/>
    <w:rsid w:val="00D26A5F"/>
    <w:rsid w:val="00D3056F"/>
    <w:rsid w:val="00D30D2B"/>
    <w:rsid w:val="00D31725"/>
    <w:rsid w:val="00D31A6D"/>
    <w:rsid w:val="00D332F5"/>
    <w:rsid w:val="00D33CC7"/>
    <w:rsid w:val="00D33E12"/>
    <w:rsid w:val="00D33EFA"/>
    <w:rsid w:val="00D34BE8"/>
    <w:rsid w:val="00D40F40"/>
    <w:rsid w:val="00D4353D"/>
    <w:rsid w:val="00D448B2"/>
    <w:rsid w:val="00D45EB2"/>
    <w:rsid w:val="00D47AD1"/>
    <w:rsid w:val="00D47B3B"/>
    <w:rsid w:val="00D500C6"/>
    <w:rsid w:val="00D50EB9"/>
    <w:rsid w:val="00D5139D"/>
    <w:rsid w:val="00D513A5"/>
    <w:rsid w:val="00D5491E"/>
    <w:rsid w:val="00D55DF5"/>
    <w:rsid w:val="00D614CB"/>
    <w:rsid w:val="00D61F29"/>
    <w:rsid w:val="00D63ACE"/>
    <w:rsid w:val="00D64509"/>
    <w:rsid w:val="00D6463D"/>
    <w:rsid w:val="00D65FEB"/>
    <w:rsid w:val="00D66808"/>
    <w:rsid w:val="00D714A2"/>
    <w:rsid w:val="00D715A8"/>
    <w:rsid w:val="00D73F6C"/>
    <w:rsid w:val="00D8031D"/>
    <w:rsid w:val="00D84B4B"/>
    <w:rsid w:val="00D86396"/>
    <w:rsid w:val="00D87A40"/>
    <w:rsid w:val="00D90DCE"/>
    <w:rsid w:val="00D92025"/>
    <w:rsid w:val="00D922B3"/>
    <w:rsid w:val="00D97FD8"/>
    <w:rsid w:val="00DA1625"/>
    <w:rsid w:val="00DA1933"/>
    <w:rsid w:val="00DA3CA2"/>
    <w:rsid w:val="00DA3EC0"/>
    <w:rsid w:val="00DA4DD7"/>
    <w:rsid w:val="00DA5DA0"/>
    <w:rsid w:val="00DB0345"/>
    <w:rsid w:val="00DB050F"/>
    <w:rsid w:val="00DB0B29"/>
    <w:rsid w:val="00DB35DC"/>
    <w:rsid w:val="00DB3A75"/>
    <w:rsid w:val="00DB3AD6"/>
    <w:rsid w:val="00DB46E1"/>
    <w:rsid w:val="00DC0D6F"/>
    <w:rsid w:val="00DC11EF"/>
    <w:rsid w:val="00DC160C"/>
    <w:rsid w:val="00DC60BC"/>
    <w:rsid w:val="00DD1E62"/>
    <w:rsid w:val="00DD1FC6"/>
    <w:rsid w:val="00DD5727"/>
    <w:rsid w:val="00DD5EDB"/>
    <w:rsid w:val="00DE0C73"/>
    <w:rsid w:val="00DE2FB5"/>
    <w:rsid w:val="00DE311B"/>
    <w:rsid w:val="00DE5633"/>
    <w:rsid w:val="00DE6FB3"/>
    <w:rsid w:val="00DE7832"/>
    <w:rsid w:val="00DF1B2B"/>
    <w:rsid w:val="00DF2622"/>
    <w:rsid w:val="00DF2D60"/>
    <w:rsid w:val="00DF5FF9"/>
    <w:rsid w:val="00E00F38"/>
    <w:rsid w:val="00E01529"/>
    <w:rsid w:val="00E030A7"/>
    <w:rsid w:val="00E05247"/>
    <w:rsid w:val="00E05D45"/>
    <w:rsid w:val="00E07BE0"/>
    <w:rsid w:val="00E1405D"/>
    <w:rsid w:val="00E20CA8"/>
    <w:rsid w:val="00E20EAB"/>
    <w:rsid w:val="00E21375"/>
    <w:rsid w:val="00E23CCF"/>
    <w:rsid w:val="00E24528"/>
    <w:rsid w:val="00E2454C"/>
    <w:rsid w:val="00E253D1"/>
    <w:rsid w:val="00E3456D"/>
    <w:rsid w:val="00E34F3C"/>
    <w:rsid w:val="00E34FC1"/>
    <w:rsid w:val="00E36946"/>
    <w:rsid w:val="00E36E9B"/>
    <w:rsid w:val="00E40A70"/>
    <w:rsid w:val="00E4209A"/>
    <w:rsid w:val="00E43797"/>
    <w:rsid w:val="00E43DD5"/>
    <w:rsid w:val="00E4577A"/>
    <w:rsid w:val="00E56AFE"/>
    <w:rsid w:val="00E56C1E"/>
    <w:rsid w:val="00E57EB1"/>
    <w:rsid w:val="00E628CA"/>
    <w:rsid w:val="00E6668E"/>
    <w:rsid w:val="00E6672A"/>
    <w:rsid w:val="00E70656"/>
    <w:rsid w:val="00E71CDE"/>
    <w:rsid w:val="00E722F1"/>
    <w:rsid w:val="00E74678"/>
    <w:rsid w:val="00E753F8"/>
    <w:rsid w:val="00E75E40"/>
    <w:rsid w:val="00E76464"/>
    <w:rsid w:val="00E778FB"/>
    <w:rsid w:val="00E83EE8"/>
    <w:rsid w:val="00E87421"/>
    <w:rsid w:val="00E92B74"/>
    <w:rsid w:val="00E92F05"/>
    <w:rsid w:val="00E940E3"/>
    <w:rsid w:val="00E94FCA"/>
    <w:rsid w:val="00E97719"/>
    <w:rsid w:val="00EA0A42"/>
    <w:rsid w:val="00EA1CA3"/>
    <w:rsid w:val="00EA2D4C"/>
    <w:rsid w:val="00EA7DB3"/>
    <w:rsid w:val="00EB042A"/>
    <w:rsid w:val="00EB33A5"/>
    <w:rsid w:val="00EB724C"/>
    <w:rsid w:val="00EC1333"/>
    <w:rsid w:val="00EC6133"/>
    <w:rsid w:val="00ED2CEC"/>
    <w:rsid w:val="00EE18F6"/>
    <w:rsid w:val="00EE2219"/>
    <w:rsid w:val="00EE2A6E"/>
    <w:rsid w:val="00EE48F4"/>
    <w:rsid w:val="00EE4EA6"/>
    <w:rsid w:val="00EE5BA5"/>
    <w:rsid w:val="00EF0E52"/>
    <w:rsid w:val="00EF338B"/>
    <w:rsid w:val="00EF425D"/>
    <w:rsid w:val="00EF48B2"/>
    <w:rsid w:val="00EF4997"/>
    <w:rsid w:val="00EF61AD"/>
    <w:rsid w:val="00F01985"/>
    <w:rsid w:val="00F07232"/>
    <w:rsid w:val="00F07DFD"/>
    <w:rsid w:val="00F11472"/>
    <w:rsid w:val="00F11607"/>
    <w:rsid w:val="00F11DD1"/>
    <w:rsid w:val="00F12AFC"/>
    <w:rsid w:val="00F12FC0"/>
    <w:rsid w:val="00F137E0"/>
    <w:rsid w:val="00F1436E"/>
    <w:rsid w:val="00F1697E"/>
    <w:rsid w:val="00F172DA"/>
    <w:rsid w:val="00F23CD5"/>
    <w:rsid w:val="00F25C6B"/>
    <w:rsid w:val="00F26B7B"/>
    <w:rsid w:val="00F3576F"/>
    <w:rsid w:val="00F42469"/>
    <w:rsid w:val="00F44011"/>
    <w:rsid w:val="00F45FF9"/>
    <w:rsid w:val="00F469BC"/>
    <w:rsid w:val="00F475A9"/>
    <w:rsid w:val="00F509BD"/>
    <w:rsid w:val="00F534F9"/>
    <w:rsid w:val="00F539C1"/>
    <w:rsid w:val="00F54771"/>
    <w:rsid w:val="00F56224"/>
    <w:rsid w:val="00F563A2"/>
    <w:rsid w:val="00F61876"/>
    <w:rsid w:val="00F63BA2"/>
    <w:rsid w:val="00F64167"/>
    <w:rsid w:val="00F765AF"/>
    <w:rsid w:val="00F81B99"/>
    <w:rsid w:val="00F84C02"/>
    <w:rsid w:val="00F86687"/>
    <w:rsid w:val="00F90E4B"/>
    <w:rsid w:val="00F922E6"/>
    <w:rsid w:val="00F92CCD"/>
    <w:rsid w:val="00F949D8"/>
    <w:rsid w:val="00F959B3"/>
    <w:rsid w:val="00F970CF"/>
    <w:rsid w:val="00FA0B98"/>
    <w:rsid w:val="00FA123D"/>
    <w:rsid w:val="00FA26CD"/>
    <w:rsid w:val="00FA4D8F"/>
    <w:rsid w:val="00FA7021"/>
    <w:rsid w:val="00FA77E7"/>
    <w:rsid w:val="00FB047B"/>
    <w:rsid w:val="00FB37D6"/>
    <w:rsid w:val="00FB4840"/>
    <w:rsid w:val="00FC237B"/>
    <w:rsid w:val="00FC5178"/>
    <w:rsid w:val="00FC6163"/>
    <w:rsid w:val="00FC7D7D"/>
    <w:rsid w:val="00FD0E84"/>
    <w:rsid w:val="00FD39FE"/>
    <w:rsid w:val="00FD56A5"/>
    <w:rsid w:val="00FD7E7F"/>
    <w:rsid w:val="00FE3060"/>
    <w:rsid w:val="00FE5F35"/>
    <w:rsid w:val="00FE7D47"/>
    <w:rsid w:val="00FF1CEB"/>
    <w:rsid w:val="00FF4B1F"/>
    <w:rsid w:val="00FF53EF"/>
    <w:rsid w:val="05B7693E"/>
    <w:rsid w:val="11AD7282"/>
    <w:rsid w:val="136C01EA"/>
    <w:rsid w:val="154777C2"/>
    <w:rsid w:val="27DF39CB"/>
    <w:rsid w:val="5E9E44A2"/>
    <w:rsid w:val="650F731F"/>
    <w:rsid w:val="720334A5"/>
    <w:rsid w:val="735D6D92"/>
    <w:rsid w:val="7FFA22C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7"/>
    <w:qFormat/>
    <w:uiPriority w:val="9"/>
    <w:pPr>
      <w:widowControl/>
      <w:spacing w:before="100" w:beforeAutospacing="1" w:after="100" w:afterAutospacing="1"/>
      <w:jc w:val="left"/>
      <w:outlineLvl w:val="0"/>
    </w:pPr>
    <w:rPr>
      <w:rFonts w:ascii="宋体" w:hAnsi="宋体" w:eastAsia="仿宋" w:cs="宋体"/>
      <w:b/>
      <w:bCs/>
      <w:color w:val="15406B" w:themeColor="accent3" w:themeShade="80"/>
      <w:kern w:val="36"/>
      <w:sz w:val="30"/>
      <w:szCs w:val="48"/>
    </w:rPr>
  </w:style>
  <w:style w:type="paragraph" w:styleId="3">
    <w:name w:val="heading 2"/>
    <w:basedOn w:val="1"/>
    <w:next w:val="1"/>
    <w:link w:val="34"/>
    <w:unhideWhenUsed/>
    <w:qFormat/>
    <w:uiPriority w:val="9"/>
    <w:pPr>
      <w:keepNext/>
      <w:spacing w:before="260" w:after="260" w:line="415" w:lineRule="auto"/>
      <w:ind w:firstLine="200" w:firstLineChars="200"/>
      <w:outlineLvl w:val="1"/>
    </w:pPr>
    <w:rPr>
      <w:rFonts w:eastAsia="仿宋" w:asciiTheme="majorHAnsi" w:hAnsiTheme="majorHAnsi" w:cstheme="majorBidi"/>
      <w:b/>
      <w:bCs/>
      <w:sz w:val="24"/>
      <w:szCs w:val="32"/>
    </w:rPr>
  </w:style>
  <w:style w:type="paragraph" w:styleId="4">
    <w:name w:val="heading 3"/>
    <w:basedOn w:val="1"/>
    <w:next w:val="1"/>
    <w:link w:val="35"/>
    <w:unhideWhenUsed/>
    <w:qFormat/>
    <w:uiPriority w:val="9"/>
    <w:pPr>
      <w:keepNext/>
      <w:spacing w:before="260" w:after="260" w:line="415" w:lineRule="auto"/>
      <w:ind w:firstLine="200" w:firstLineChars="200"/>
      <w:outlineLvl w:val="2"/>
    </w:pPr>
    <w:rPr>
      <w:rFonts w:eastAsia="仿宋"/>
      <w:b/>
      <w:bCs/>
      <w:color w:val="15406B" w:themeColor="accent3" w:themeShade="80"/>
      <w:sz w:val="24"/>
      <w:szCs w:val="32"/>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4"/>
    <w:semiHidden/>
    <w:unhideWhenUsed/>
    <w:qFormat/>
    <w:uiPriority w:val="99"/>
    <w:pPr>
      <w:jc w:val="left"/>
    </w:pPr>
  </w:style>
  <w:style w:type="paragraph" w:styleId="6">
    <w:name w:val="Date"/>
    <w:basedOn w:val="1"/>
    <w:next w:val="1"/>
    <w:link w:val="26"/>
    <w:semiHidden/>
    <w:unhideWhenUsed/>
    <w:qFormat/>
    <w:uiPriority w:val="99"/>
    <w:pPr>
      <w:ind w:left="100" w:leftChars="2500"/>
    </w:pPr>
  </w:style>
  <w:style w:type="paragraph" w:styleId="7">
    <w:name w:val="Balloon Text"/>
    <w:basedOn w:val="1"/>
    <w:link w:val="22"/>
    <w:semiHidden/>
    <w:unhideWhenUsed/>
    <w:qFormat/>
    <w:uiPriority w:val="99"/>
    <w:rPr>
      <w:sz w:val="18"/>
      <w:szCs w:val="18"/>
    </w:rPr>
  </w:style>
  <w:style w:type="paragraph" w:styleId="8">
    <w:name w:val="footer"/>
    <w:basedOn w:val="1"/>
    <w:link w:val="21"/>
    <w:unhideWhenUsed/>
    <w:qFormat/>
    <w:uiPriority w:val="99"/>
    <w:pPr>
      <w:tabs>
        <w:tab w:val="center" w:pos="4153"/>
        <w:tab w:val="right" w:pos="8306"/>
      </w:tabs>
      <w:snapToGrid w:val="0"/>
      <w:jc w:val="left"/>
    </w:pPr>
    <w:rPr>
      <w:sz w:val="18"/>
      <w:szCs w:val="18"/>
    </w:rPr>
  </w:style>
  <w:style w:type="paragraph" w:styleId="9">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23"/>
    <w:unhideWhenUsed/>
    <w:qFormat/>
    <w:uiPriority w:val="99"/>
    <w:pPr>
      <w:snapToGrid w:val="0"/>
      <w:jc w:val="left"/>
    </w:pPr>
    <w:rPr>
      <w:sz w:val="18"/>
      <w:szCs w:val="18"/>
    </w:rPr>
  </w:style>
  <w:style w:type="paragraph" w:styleId="11">
    <w:name w:val="annotation subject"/>
    <w:basedOn w:val="5"/>
    <w:next w:val="5"/>
    <w:link w:val="25"/>
    <w:semiHidden/>
    <w:unhideWhenUsed/>
    <w:qFormat/>
    <w:uiPriority w:val="99"/>
    <w:rPr>
      <w:b/>
      <w:bCs/>
    </w:rPr>
  </w:style>
  <w:style w:type="character" w:styleId="14">
    <w:name w:val="Strong"/>
    <w:basedOn w:val="13"/>
    <w:qFormat/>
    <w:uiPriority w:val="22"/>
    <w:rPr>
      <w:b/>
    </w:rPr>
  </w:style>
  <w:style w:type="character" w:styleId="15">
    <w:name w:val="FollowedHyperlink"/>
    <w:basedOn w:val="13"/>
    <w:semiHidden/>
    <w:unhideWhenUsed/>
    <w:qFormat/>
    <w:uiPriority w:val="99"/>
    <w:rPr>
      <w:color w:val="3EBBF0" w:themeColor="followedHyperlink"/>
      <w:u w:val="single"/>
      <w14:textFill>
        <w14:solidFill>
          <w14:schemeClr w14:val="folHlink"/>
        </w14:solidFill>
      </w14:textFill>
    </w:rPr>
  </w:style>
  <w:style w:type="character" w:styleId="16">
    <w:name w:val="Hyperlink"/>
    <w:basedOn w:val="13"/>
    <w:unhideWhenUsed/>
    <w:qFormat/>
    <w:uiPriority w:val="99"/>
    <w:rPr>
      <w:color w:val="474747"/>
      <w:u w:val="none"/>
    </w:rPr>
  </w:style>
  <w:style w:type="character" w:styleId="17">
    <w:name w:val="annotation reference"/>
    <w:basedOn w:val="13"/>
    <w:semiHidden/>
    <w:unhideWhenUsed/>
    <w:qFormat/>
    <w:uiPriority w:val="99"/>
    <w:rPr>
      <w:sz w:val="21"/>
      <w:szCs w:val="21"/>
    </w:rPr>
  </w:style>
  <w:style w:type="character" w:styleId="18">
    <w:name w:val="footnote reference"/>
    <w:basedOn w:val="13"/>
    <w:semiHidden/>
    <w:unhideWhenUsed/>
    <w:qFormat/>
    <w:uiPriority w:val="99"/>
    <w:rPr>
      <w:vertAlign w:val="superscript"/>
    </w:rPr>
  </w:style>
  <w:style w:type="paragraph" w:styleId="19">
    <w:name w:val="List Paragraph"/>
    <w:basedOn w:val="1"/>
    <w:qFormat/>
    <w:uiPriority w:val="34"/>
    <w:pPr>
      <w:ind w:firstLine="420" w:firstLineChars="200"/>
    </w:pPr>
  </w:style>
  <w:style w:type="character" w:customStyle="1" w:styleId="20">
    <w:name w:val="页眉 字符"/>
    <w:basedOn w:val="13"/>
    <w:link w:val="9"/>
    <w:qFormat/>
    <w:uiPriority w:val="99"/>
    <w:rPr>
      <w:sz w:val="18"/>
      <w:szCs w:val="18"/>
    </w:rPr>
  </w:style>
  <w:style w:type="character" w:customStyle="1" w:styleId="21">
    <w:name w:val="页脚 字符"/>
    <w:basedOn w:val="13"/>
    <w:link w:val="8"/>
    <w:qFormat/>
    <w:uiPriority w:val="99"/>
    <w:rPr>
      <w:sz w:val="18"/>
      <w:szCs w:val="18"/>
    </w:rPr>
  </w:style>
  <w:style w:type="character" w:customStyle="1" w:styleId="22">
    <w:name w:val="批注框文本 字符"/>
    <w:basedOn w:val="13"/>
    <w:link w:val="7"/>
    <w:semiHidden/>
    <w:qFormat/>
    <w:uiPriority w:val="99"/>
    <w:rPr>
      <w:sz w:val="18"/>
      <w:szCs w:val="18"/>
    </w:rPr>
  </w:style>
  <w:style w:type="character" w:customStyle="1" w:styleId="23">
    <w:name w:val="脚注文本 字符"/>
    <w:basedOn w:val="13"/>
    <w:link w:val="10"/>
    <w:qFormat/>
    <w:uiPriority w:val="99"/>
    <w:rPr>
      <w:sz w:val="18"/>
      <w:szCs w:val="18"/>
    </w:rPr>
  </w:style>
  <w:style w:type="character" w:customStyle="1" w:styleId="24">
    <w:name w:val="批注文字 字符"/>
    <w:basedOn w:val="13"/>
    <w:link w:val="5"/>
    <w:semiHidden/>
    <w:qFormat/>
    <w:uiPriority w:val="99"/>
  </w:style>
  <w:style w:type="character" w:customStyle="1" w:styleId="25">
    <w:name w:val="批注主题 字符"/>
    <w:basedOn w:val="24"/>
    <w:link w:val="11"/>
    <w:semiHidden/>
    <w:qFormat/>
    <w:uiPriority w:val="99"/>
    <w:rPr>
      <w:b/>
      <w:bCs/>
    </w:rPr>
  </w:style>
  <w:style w:type="character" w:customStyle="1" w:styleId="26">
    <w:name w:val="日期 字符"/>
    <w:basedOn w:val="13"/>
    <w:link w:val="6"/>
    <w:semiHidden/>
    <w:qFormat/>
    <w:uiPriority w:val="99"/>
  </w:style>
  <w:style w:type="character" w:customStyle="1" w:styleId="27">
    <w:name w:val="标题 1 字符"/>
    <w:basedOn w:val="13"/>
    <w:link w:val="2"/>
    <w:qFormat/>
    <w:uiPriority w:val="9"/>
    <w:rPr>
      <w:rFonts w:ascii="宋体" w:hAnsi="宋体" w:eastAsia="仿宋" w:cs="宋体"/>
      <w:b/>
      <w:bCs/>
      <w:color w:val="15406B" w:themeColor="accent3" w:themeShade="80"/>
      <w:kern w:val="36"/>
      <w:sz w:val="30"/>
      <w:szCs w:val="48"/>
    </w:rPr>
  </w:style>
  <w:style w:type="paragraph" w:customStyle="1" w:styleId="28">
    <w:name w:val="doc-a-number"/>
    <w:basedOn w:val="1"/>
    <w:semiHidden/>
    <w:qFormat/>
    <w:uiPriority w:val="99"/>
    <w:pPr>
      <w:widowControl/>
      <w:spacing w:before="100" w:beforeAutospacing="1" w:after="100" w:afterAutospacing="1"/>
      <w:ind w:firstLine="480"/>
      <w:jc w:val="left"/>
    </w:pPr>
    <w:rPr>
      <w:rFonts w:ascii="微软雅黑" w:hAnsi="微软雅黑" w:eastAsia="微软雅黑" w:cs="宋体"/>
      <w:vanish/>
      <w:kern w:val="0"/>
      <w:szCs w:val="21"/>
    </w:rPr>
  </w:style>
  <w:style w:type="paragraph" w:customStyle="1" w:styleId="29">
    <w:name w:val="cncasetitle"/>
    <w:basedOn w:val="1"/>
    <w:semiHidden/>
    <w:qFormat/>
    <w:uiPriority w:val="99"/>
    <w:pPr>
      <w:widowControl/>
      <w:spacing w:before="100" w:beforeAutospacing="1" w:after="100" w:afterAutospacing="1"/>
      <w:jc w:val="center"/>
    </w:pPr>
    <w:rPr>
      <w:rFonts w:ascii="微软雅黑" w:hAnsi="微软雅黑" w:eastAsia="微软雅黑" w:cs="宋体"/>
      <w:b/>
      <w:bCs/>
      <w:vanish/>
      <w:kern w:val="0"/>
      <w:sz w:val="24"/>
      <w:szCs w:val="24"/>
    </w:rPr>
  </w:style>
  <w:style w:type="paragraph" w:customStyle="1" w:styleId="30">
    <w:name w:val="footerstyle"/>
    <w:basedOn w:val="1"/>
    <w:semiHidden/>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31">
    <w:name w:val="metaname1"/>
    <w:basedOn w:val="13"/>
    <w:qFormat/>
    <w:uiPriority w:val="0"/>
    <w:rPr>
      <w:rFonts w:hint="eastAsia" w:ascii="微软雅黑" w:hAnsi="微软雅黑" w:eastAsia="微软雅黑"/>
      <w:b/>
      <w:bCs/>
      <w:sz w:val="21"/>
      <w:szCs w:val="21"/>
    </w:rPr>
  </w:style>
  <w:style w:type="paragraph" w:customStyle="1" w:styleId="32">
    <w:name w:val="doc-a1"/>
    <w:basedOn w:val="1"/>
    <w:semiHidden/>
    <w:qFormat/>
    <w:uiPriority w:val="99"/>
    <w:pPr>
      <w:widowControl/>
      <w:spacing w:before="100" w:beforeAutospacing="1" w:after="100" w:afterAutospacing="1"/>
      <w:ind w:firstLine="480"/>
      <w:jc w:val="left"/>
    </w:pPr>
    <w:rPr>
      <w:rFonts w:ascii="微软雅黑" w:hAnsi="微软雅黑" w:eastAsia="微软雅黑" w:cs="宋体"/>
      <w:kern w:val="0"/>
      <w:szCs w:val="21"/>
    </w:rPr>
  </w:style>
  <w:style w:type="character" w:customStyle="1" w:styleId="33">
    <w:name w:val="Unresolved Mention"/>
    <w:basedOn w:val="13"/>
    <w:semiHidden/>
    <w:unhideWhenUsed/>
    <w:qFormat/>
    <w:uiPriority w:val="99"/>
    <w:rPr>
      <w:color w:val="605E5C"/>
      <w:shd w:val="clear" w:color="auto" w:fill="E1DFDD"/>
    </w:rPr>
  </w:style>
  <w:style w:type="character" w:customStyle="1" w:styleId="34">
    <w:name w:val="标题 2 字符"/>
    <w:basedOn w:val="13"/>
    <w:link w:val="3"/>
    <w:qFormat/>
    <w:uiPriority w:val="9"/>
    <w:rPr>
      <w:rFonts w:eastAsia="仿宋" w:asciiTheme="majorHAnsi" w:hAnsiTheme="majorHAnsi" w:cstheme="majorBidi"/>
      <w:b/>
      <w:bCs/>
      <w:sz w:val="24"/>
      <w:szCs w:val="32"/>
    </w:rPr>
  </w:style>
  <w:style w:type="character" w:customStyle="1" w:styleId="35">
    <w:name w:val="标题 3 字符"/>
    <w:basedOn w:val="13"/>
    <w:link w:val="4"/>
    <w:qFormat/>
    <w:uiPriority w:val="9"/>
    <w:rPr>
      <w:rFonts w:eastAsia="仿宋"/>
      <w:b/>
      <w:bCs/>
      <w:color w:val="15406B" w:themeColor="accent3" w:themeShade="80"/>
      <w:sz w:val="24"/>
      <w:szCs w:val="32"/>
    </w:rPr>
  </w:style>
  <w:style w:type="paragraph" w:customStyle="1" w:styleId="36">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蓝色暖调">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40247</Words>
  <Characters>43423</Characters>
  <Lines>707</Lines>
  <Paragraphs>199</Paragraphs>
  <TotalTime>7</TotalTime>
  <ScaleCrop>false</ScaleCrop>
  <LinksUpToDate>false</LinksUpToDate>
  <CharactersWithSpaces>43572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2019-10-24T05:55:00Z</dcterms:created>
  <dc:creator>孟也甜</dc:creator>
  <cp:lastModifiedBy>康睿博</cp:lastModifiedBy>
  <cp:lastPrinted>2022-02-10T04:34:00Z</cp:lastPrinted>
  <dcterms:modified xsi:type="dcterms:W3CDTF">2026-04-09T12:49:37Z</dcterms:modified>
  <cp:revision>170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6600358A94574D7686B343212FEC20EB_13</vt:lpwstr>
  </property>
  <property fmtid="{D5CDD505-2E9C-101B-9397-08002B2CF9AE}" pid="4" name="KSOTemplateDocerSaveRecord">
    <vt:lpwstr>eyJoZGlkIjoiMzJiYWIwNWJhNzg0NTI2Y2VhMGI4ZjcyYzQxMzgzYzIiLCJ1c2VySWQiOiIxNDg2ODk1OTEwIn0=</vt:lpwstr>
  </property>
</Properties>
</file>