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E949A" w14:textId="6A6B9E86" w:rsidR="00EB7885" w:rsidRPr="00433E9A" w:rsidRDefault="00EB7885" w:rsidP="00433E9A">
      <w:pPr>
        <w:pStyle w:val="Heading1"/>
        <w:jc w:val="center"/>
        <w:rPr>
          <w:b/>
          <w:bCs/>
          <w:caps/>
          <w:color w:val="auto"/>
        </w:rPr>
      </w:pPr>
      <w:r w:rsidRPr="00433E9A">
        <w:rPr>
          <w:b/>
          <w:bCs/>
          <w:caps/>
          <w:color w:val="auto"/>
        </w:rPr>
        <w:t>NGUYÊN TẮC VÀNG</w:t>
      </w:r>
    </w:p>
    <w:p w14:paraId="60B7BF0C" w14:textId="770A07B6" w:rsidR="00EB7885" w:rsidRPr="00433E9A" w:rsidRDefault="00EB7885" w:rsidP="00433E9A">
      <w:pPr>
        <w:pStyle w:val="Heading2"/>
        <w:rPr>
          <w:b w:val="0"/>
          <w:color w:val="auto"/>
        </w:rPr>
      </w:pPr>
      <w:r w:rsidRPr="00433E9A">
        <w:rPr>
          <w:color w:val="auto"/>
        </w:rPr>
        <w:t>1.Giới thiệu</w:t>
      </w:r>
    </w:p>
    <w:p w14:paraId="042906CE" w14:textId="2BD16850" w:rsidR="00EB7885" w:rsidRPr="00641B7C" w:rsidRDefault="00EB7885" w:rsidP="00641B7C">
      <w:pPr>
        <w:spacing w:line="360" w:lineRule="auto"/>
        <w:ind w:firstLine="720"/>
        <w:jc w:val="both"/>
        <w:rPr>
          <w:sz w:val="28"/>
          <w:szCs w:val="28"/>
        </w:rPr>
      </w:pPr>
      <w:r w:rsidRPr="00641B7C">
        <w:rPr>
          <w:sz w:val="28"/>
          <w:szCs w:val="28"/>
        </w:rPr>
        <w:t>Nguyên tắc vàng, được tóm gọn trong câu "</w:t>
      </w:r>
      <w:r w:rsidRPr="00641B7C">
        <w:rPr>
          <w:i/>
          <w:iCs/>
          <w:sz w:val="28"/>
          <w:szCs w:val="28"/>
        </w:rPr>
        <w:t>Hãy đối xử với người khác theo cách bạn muốn họ đối xử với mình</w:t>
      </w:r>
      <w:r w:rsidRPr="00641B7C">
        <w:rPr>
          <w:sz w:val="28"/>
          <w:szCs w:val="28"/>
        </w:rPr>
        <w:t>", là một châm ngôn đạo đức vượt qua ranh giới văn hóa, tôn giáo và thời gian. Tính phổ quát của nó được thể hiện qua sự xuất hiện trong các tôn giáo lớn, truyền thống triết học và các khuôn khổ đạo đức. Từ giáo lý Thiên Chúa giáo đến triết học Khổng Tử, nguyên tắc này nhấn mạnh sự đồng cảm và tính tương hỗ như nền tảng của sự tương tác giữa con người. Bài luận này khám phá các ứng dụng thực tiễn của Nguyên tắc Vàng trong mối quan hệ cá nhân, môi trường làm việc,</w:t>
      </w:r>
      <w:r w:rsidR="00973617">
        <w:rPr>
          <w:sz w:val="28"/>
          <w:szCs w:val="28"/>
          <w:lang w:val="vi-VN"/>
        </w:rPr>
        <w:t xml:space="preserve"> </w:t>
      </w:r>
      <w:r w:rsidRPr="00641B7C">
        <w:rPr>
          <w:sz w:val="28"/>
          <w:szCs w:val="28"/>
        </w:rPr>
        <w:t xml:space="preserve"> giáo dục và hệ thống pháp luật, được hỗ trợ bởi các ví dụ thực tế và quan điểm học thuật. Bằng cách phân tích những điểm mạnh và hạn chế của nó, chúng ta khẳng định tầm quan trọng lâu dài của nguyên tắc này trong việc xây dựng một xã hội nhân ái.</w:t>
      </w:r>
    </w:p>
    <w:p w14:paraId="34F6BF57" w14:textId="07042CC0" w:rsidR="00EB7885" w:rsidRPr="00433E9A" w:rsidRDefault="00EB7885" w:rsidP="00433E9A">
      <w:pPr>
        <w:pStyle w:val="Heading2"/>
        <w:rPr>
          <w:b w:val="0"/>
          <w:color w:val="auto"/>
        </w:rPr>
      </w:pPr>
      <w:r w:rsidRPr="00433E9A">
        <w:rPr>
          <w:color w:val="auto"/>
        </w:rPr>
        <w:t>2.Cơ sở lịch sử và tôn giáo</w:t>
      </w:r>
    </w:p>
    <w:p w14:paraId="7917306A" w14:textId="77777777" w:rsidR="00EB7885" w:rsidRPr="00641B7C" w:rsidRDefault="00EB7885" w:rsidP="00641B7C">
      <w:pPr>
        <w:spacing w:line="360" w:lineRule="auto"/>
        <w:ind w:firstLine="720"/>
        <w:jc w:val="both"/>
        <w:rPr>
          <w:sz w:val="28"/>
          <w:szCs w:val="28"/>
        </w:rPr>
      </w:pPr>
      <w:r w:rsidRPr="00641B7C">
        <w:rPr>
          <w:sz w:val="28"/>
          <w:szCs w:val="28"/>
        </w:rPr>
        <w:t>Nguyên tắc Vàng có nguồn gốc sâu sắc trong các truyền thống toàn cầu. Trong Thiên Chúa giáo, Chúa Giê-su đã phát biểu trong Bài giảng trên núi: "</w:t>
      </w:r>
      <w:r w:rsidRPr="00973617">
        <w:rPr>
          <w:i/>
          <w:iCs/>
          <w:sz w:val="28"/>
          <w:szCs w:val="28"/>
        </w:rPr>
        <w:t>Vậy trong mọi điều, hãy làm cho người khác điều bạn muốn họ làm cho mình</w:t>
      </w:r>
      <w:r w:rsidRPr="00641B7C">
        <w:rPr>
          <w:sz w:val="28"/>
          <w:szCs w:val="28"/>
        </w:rPr>
        <w:t>" (Matthew 7:12, New International Version, 2011). Tương tự, Khổng Tử khuyên trong Luận Ngữ: "</w:t>
      </w:r>
      <w:r w:rsidRPr="00973617">
        <w:rPr>
          <w:i/>
          <w:iCs/>
          <w:sz w:val="28"/>
          <w:szCs w:val="28"/>
        </w:rPr>
        <w:t>Điều gì mình không muốn, chớ làm cho người</w:t>
      </w:r>
      <w:r w:rsidRPr="00641B7C">
        <w:rPr>
          <w:sz w:val="28"/>
          <w:szCs w:val="28"/>
        </w:rPr>
        <w:t>" (Legge, 1893, tr. 301). Trong sử thi Mahabharata của Ấn Độ giáo cũng có câu: "</w:t>
      </w:r>
      <w:r w:rsidRPr="00973617">
        <w:rPr>
          <w:i/>
          <w:iCs/>
          <w:sz w:val="28"/>
          <w:szCs w:val="28"/>
        </w:rPr>
        <w:t>Hãy đối xử với người khác như bạn đối xử với chính mình</w:t>
      </w:r>
      <w:r w:rsidRPr="00641B7C">
        <w:rPr>
          <w:sz w:val="28"/>
          <w:szCs w:val="28"/>
        </w:rPr>
        <w:t>" (Ganguli, 1883). Những cách diễn đạt này nhấn mạnh sự đồng cảm như nền tảng của hành vi đạo đức.</w:t>
      </w:r>
    </w:p>
    <w:p w14:paraId="3A740961" w14:textId="77777777" w:rsidR="00973617" w:rsidRDefault="00973617" w:rsidP="00641B7C">
      <w:pPr>
        <w:spacing w:line="360" w:lineRule="auto"/>
        <w:jc w:val="both"/>
        <w:rPr>
          <w:b/>
          <w:bCs/>
          <w:sz w:val="28"/>
          <w:szCs w:val="28"/>
          <w:lang w:val="vi-VN"/>
        </w:rPr>
      </w:pPr>
    </w:p>
    <w:p w14:paraId="09A93B1D" w14:textId="1B9B9371" w:rsidR="00EB7885" w:rsidRPr="00641B7C" w:rsidRDefault="00EB7885" w:rsidP="00433E9A">
      <w:pPr>
        <w:pStyle w:val="Heading2"/>
      </w:pPr>
      <w:r w:rsidRPr="00641B7C">
        <w:lastRenderedPageBreak/>
        <w:t>3.Ứng dụng trong mối quan hệ cá nhân</w:t>
      </w:r>
    </w:p>
    <w:p w14:paraId="3C4D6A87" w14:textId="37595693" w:rsidR="00EB7885" w:rsidRPr="00641B7C" w:rsidRDefault="00EB7885" w:rsidP="00641B7C">
      <w:pPr>
        <w:spacing w:line="360" w:lineRule="auto"/>
        <w:ind w:firstLine="720"/>
        <w:jc w:val="both"/>
        <w:rPr>
          <w:sz w:val="28"/>
          <w:szCs w:val="28"/>
        </w:rPr>
      </w:pPr>
      <w:r w:rsidRPr="00641B7C">
        <w:rPr>
          <w:sz w:val="28"/>
          <w:szCs w:val="28"/>
        </w:rPr>
        <w:t>Nguyên tắc Vàng thể hiện rõ ràng trong các tương tác hàng ngày. Hãy xem xét trường hợp của Wesley Autrey, một công nhân xây dựng ở New York được gọi là "</w:t>
      </w:r>
      <w:r w:rsidRPr="00973617">
        <w:rPr>
          <w:i/>
          <w:iCs/>
          <w:sz w:val="28"/>
          <w:szCs w:val="28"/>
        </w:rPr>
        <w:t>Người hùng tàu điện ngầm"</w:t>
      </w:r>
      <w:r w:rsidRPr="00641B7C">
        <w:rPr>
          <w:sz w:val="28"/>
          <w:szCs w:val="28"/>
        </w:rPr>
        <w:t>. Năm 2007, Autrey nhảy xuống đường ray tàu để cứu một người lạ bị co giật và sau đó nói: "</w:t>
      </w:r>
      <w:r w:rsidRPr="00973617">
        <w:rPr>
          <w:i/>
          <w:iCs/>
          <w:sz w:val="28"/>
          <w:szCs w:val="28"/>
        </w:rPr>
        <w:t>Tôi chỉ nghĩ, nếu đó là con tôi thì sao?</w:t>
      </w:r>
      <w:r w:rsidRPr="00641B7C">
        <w:rPr>
          <w:sz w:val="28"/>
          <w:szCs w:val="28"/>
        </w:rPr>
        <w:t>" (Buckley, 2007). Quyết định trong tích tắc của ông, được hướng dẫn bởi sự đồng cảm, minh chứng cho sức mạnh của Nguyên tắc Vàng trong việc truyền cảm hứng cho lòng vị tha.</w:t>
      </w:r>
    </w:p>
    <w:p w14:paraId="00FC9038" w14:textId="112355ED" w:rsidR="00EB7885" w:rsidRPr="00973617" w:rsidRDefault="00EB7885" w:rsidP="00641B7C">
      <w:pPr>
        <w:spacing w:line="360" w:lineRule="auto"/>
        <w:ind w:firstLine="720"/>
        <w:jc w:val="both"/>
        <w:rPr>
          <w:sz w:val="28"/>
          <w:szCs w:val="28"/>
          <w:lang w:val="vi-VN"/>
        </w:rPr>
      </w:pPr>
      <w:r w:rsidRPr="00641B7C">
        <w:rPr>
          <w:sz w:val="28"/>
          <w:szCs w:val="28"/>
        </w:rPr>
        <w:t xml:space="preserve">Tương tự, giải quyết xung đột thường dựa vào sự đồng cảm. Một ví dụ cá nhân cho thấy khi một người bạn hủy kế hoạch vào phút chót, sự thất vọng xuất hiện. Tuy nhiên, nhớ lại một lần tôi cũng cần sự linh hoạt, tôi đã phản ứng bằng sự thông cảm, giúp duy trì tình bạn. Giả thuyết về lòng vị tha của nhà tâm lý học Daniel Batson cũng ủng hộ điều này, cho rằng việc đặt mình vào vị trí người khác khuyến khích hành vi tích </w:t>
      </w:r>
      <w:r w:rsidR="00973617">
        <w:rPr>
          <w:sz w:val="28"/>
          <w:szCs w:val="28"/>
        </w:rPr>
        <w:t>cực</w:t>
      </w:r>
      <w:r w:rsidR="00973617">
        <w:rPr>
          <w:sz w:val="28"/>
          <w:szCs w:val="28"/>
          <w:lang w:val="vi-VN"/>
        </w:rPr>
        <w:t>.</w:t>
      </w:r>
    </w:p>
    <w:p w14:paraId="74355948" w14:textId="72779F7B" w:rsidR="00EB7885" w:rsidRPr="00641B7C" w:rsidRDefault="00EB7885" w:rsidP="00433E9A">
      <w:pPr>
        <w:pStyle w:val="Heading2"/>
      </w:pPr>
      <w:r w:rsidRPr="00641B7C">
        <w:t>4.Ứng dụng trong môi trường làm việc</w:t>
      </w:r>
    </w:p>
    <w:p w14:paraId="3DAF0E0D" w14:textId="788955C8" w:rsidR="00EB7885" w:rsidRPr="00641B7C" w:rsidRDefault="00EB7885" w:rsidP="00641B7C">
      <w:pPr>
        <w:spacing w:line="360" w:lineRule="auto"/>
        <w:ind w:firstLine="720"/>
        <w:jc w:val="both"/>
        <w:rPr>
          <w:sz w:val="28"/>
          <w:szCs w:val="28"/>
        </w:rPr>
      </w:pPr>
      <w:r w:rsidRPr="00641B7C">
        <w:rPr>
          <w:sz w:val="28"/>
          <w:szCs w:val="28"/>
        </w:rPr>
        <w:t>Trong môi trường làm việc, Nguyên tắc Vàng nâng cao tinh thần làm việc nhóm và khả năng lãnh đạo. Một nhà quản lý ưu tiên phúc lợi nhân viên chẳng hạn như cung cấp giờ làm linh hoạt hoặc hỗ trợ sức khỏe tâm lý thường tạo ra lòng trung thành và tăng năng suất. Văn hóa doanh nghiệp của Costco, bao gồm mức lương công bằng và cơ hội thăng tiến, đã giúp giảm tỷ lệ nghỉ việc xuống mức thấp nhất trong ngành (Cascio, 2006). Giám đốc điều hành Craig Jelinek từng phát biểu: "</w:t>
      </w:r>
      <w:r w:rsidRPr="00973617">
        <w:rPr>
          <w:i/>
          <w:iCs/>
          <w:sz w:val="28"/>
          <w:szCs w:val="28"/>
        </w:rPr>
        <w:t>Đối xử tốt với nhân viên, họ sẽ đối xử tốt với khách hàng</w:t>
      </w:r>
      <w:r w:rsidRPr="00641B7C">
        <w:rPr>
          <w:sz w:val="28"/>
          <w:szCs w:val="28"/>
        </w:rPr>
        <w:t>" (Schultz, 2013).</w:t>
      </w:r>
    </w:p>
    <w:p w14:paraId="7FBAE781" w14:textId="77777777" w:rsidR="00EB7885" w:rsidRPr="00641B7C" w:rsidRDefault="00EB7885" w:rsidP="00641B7C">
      <w:pPr>
        <w:spacing w:line="360" w:lineRule="auto"/>
        <w:ind w:firstLine="720"/>
        <w:jc w:val="both"/>
        <w:rPr>
          <w:sz w:val="28"/>
          <w:szCs w:val="28"/>
        </w:rPr>
      </w:pPr>
      <w:r w:rsidRPr="00641B7C">
        <w:rPr>
          <w:sz w:val="28"/>
          <w:szCs w:val="28"/>
        </w:rPr>
        <w:lastRenderedPageBreak/>
        <w:t>Cuộc khủng hoảng Tylenol năm 1982 là một dấu mốc trong đạo đức kinh doanh. Khi các viên nang Tylenol bị nhiễm xyanua khiến bảy người thiệt mạng, Johnson &amp; Johnson đã thu hồi 31 triệu chai, ưu tiên sự an toàn của người tiêu dùng hơn lợi nhuận ngắn hạn. Giám đốc điều hành James Burke cho biết quyết định này được hướng dẫn bởi nguyên tắc đạo đức của công ty, dựa trên Nguyên tắc Vàng (Paine, 1994). Động thái này bảo vệ lòng tin của công chúng và đặt ra một tiêu chuẩn mới cho quản lý khủng hoảng.</w:t>
      </w:r>
    </w:p>
    <w:p w14:paraId="40503773" w14:textId="711744F7" w:rsidR="00EB7885" w:rsidRPr="00641B7C" w:rsidRDefault="00EB7885" w:rsidP="00433E9A">
      <w:pPr>
        <w:pStyle w:val="Heading2"/>
      </w:pPr>
      <w:r w:rsidRPr="00641B7C">
        <w:t>5.Ứng dụng trong giáo dục và chống bắt nạt</w:t>
      </w:r>
    </w:p>
    <w:p w14:paraId="606C0CB8" w14:textId="77777777" w:rsidR="00EB7885" w:rsidRPr="00641B7C" w:rsidRDefault="00EB7885" w:rsidP="00641B7C">
      <w:pPr>
        <w:spacing w:line="360" w:lineRule="auto"/>
        <w:ind w:firstLine="720"/>
        <w:jc w:val="both"/>
        <w:rPr>
          <w:sz w:val="28"/>
          <w:szCs w:val="28"/>
        </w:rPr>
      </w:pPr>
      <w:r w:rsidRPr="00641B7C">
        <w:rPr>
          <w:sz w:val="28"/>
          <w:szCs w:val="28"/>
        </w:rPr>
        <w:t>Trường học trên thế giới sử dụng Nguyên tắc Vàng để thúc đẩy lòng đồng cảm. Chương trình "Roots of Empathy" của Canada giúp giảm bạo lực bằng cách cho học sinh tiếp xúc với trẻ sơ sinh, khuyến khích khả năng đồng cảm (Gordon, 2005). Một giáo viên chia sẻ rằng sau khi một học sinh gắn bó với em bé, em ấy ngừng bắt nạt bạn bè vì nhận ra: "</w:t>
      </w:r>
      <w:r w:rsidRPr="00973617">
        <w:rPr>
          <w:i/>
          <w:iCs/>
          <w:sz w:val="28"/>
          <w:szCs w:val="28"/>
        </w:rPr>
        <w:t>Mình không muốn ai làm hại cô bé này</w:t>
      </w:r>
      <w:r w:rsidRPr="00641B7C">
        <w:rPr>
          <w:sz w:val="28"/>
          <w:szCs w:val="28"/>
        </w:rPr>
        <w:t>" (Gordon, 2019).</w:t>
      </w:r>
    </w:p>
    <w:p w14:paraId="2C30D5CC" w14:textId="77777777" w:rsidR="00EB7885" w:rsidRPr="00641B7C" w:rsidRDefault="00EB7885" w:rsidP="00641B7C">
      <w:pPr>
        <w:spacing w:line="360" w:lineRule="auto"/>
        <w:ind w:firstLine="720"/>
        <w:jc w:val="both"/>
        <w:rPr>
          <w:sz w:val="28"/>
          <w:szCs w:val="28"/>
        </w:rPr>
      </w:pPr>
      <w:r w:rsidRPr="00641B7C">
        <w:rPr>
          <w:sz w:val="28"/>
          <w:szCs w:val="28"/>
        </w:rPr>
        <w:t>Tại một trường trung học ở California, "</w:t>
      </w:r>
      <w:r w:rsidRPr="00973617">
        <w:rPr>
          <w:i/>
          <w:iCs/>
          <w:sz w:val="28"/>
          <w:szCs w:val="28"/>
        </w:rPr>
        <w:t>Tuần lễ Nguyên tắc Vàng</w:t>
      </w:r>
      <w:r w:rsidRPr="00641B7C">
        <w:rPr>
          <w:sz w:val="28"/>
          <w:szCs w:val="28"/>
        </w:rPr>
        <w:t>" cho học sinh trải nghiệm vị trí của giáo viên và nhân viên, giúp tăng sự tôn trọng lẫn nhau. Các cuộc khảo sát sau đó ghi nhận mức giảm 30% số vụ vi phạm kỷ luật (Martinez, 2018). Những sáng kiến như vậy phù hợp với nghiên cứu chỉ ra rằng giáo dục về đồng cảm giúp giảm bắt nạt (Espelage et al., 2015).</w:t>
      </w:r>
    </w:p>
    <w:p w14:paraId="6886BC9D" w14:textId="1BD62E21" w:rsidR="00EB7885" w:rsidRPr="00641B7C" w:rsidRDefault="00EB7885" w:rsidP="00433E9A">
      <w:pPr>
        <w:pStyle w:val="Heading2"/>
      </w:pPr>
      <w:r w:rsidRPr="00641B7C">
        <w:t>6.Ứng dụng trong hệ thống pháp luật</w:t>
      </w:r>
    </w:p>
    <w:p w14:paraId="13FEB425" w14:textId="77777777" w:rsidR="00EB7885" w:rsidRPr="00641B7C" w:rsidRDefault="00EB7885" w:rsidP="00641B7C">
      <w:pPr>
        <w:spacing w:line="360" w:lineRule="auto"/>
        <w:ind w:firstLine="720"/>
        <w:jc w:val="both"/>
        <w:rPr>
          <w:sz w:val="28"/>
          <w:szCs w:val="28"/>
        </w:rPr>
      </w:pPr>
      <w:r w:rsidRPr="00641B7C">
        <w:rPr>
          <w:sz w:val="28"/>
          <w:szCs w:val="28"/>
        </w:rPr>
        <w:t>Mặc dù không phải là một học thuyết pháp lý, Nguyên tắc Vàng ảnh hưởng đến luật pháp. Trong vụ Donoghue v. Stevenson (1932), nguyên tắc "</w:t>
      </w:r>
      <w:r w:rsidRPr="00973617">
        <w:rPr>
          <w:i/>
          <w:iCs/>
          <w:sz w:val="28"/>
          <w:szCs w:val="28"/>
        </w:rPr>
        <w:t>người hàng xóm</w:t>
      </w:r>
      <w:r w:rsidRPr="00641B7C">
        <w:rPr>
          <w:sz w:val="28"/>
          <w:szCs w:val="28"/>
        </w:rPr>
        <w:t xml:space="preserve">" của Lord Atkin thiết lập nghĩa vụ chăm sóc, phản ánh Nguyên tắc Vàng trong luật pháp. Tương tự, các chương trình tư pháp phục hồi khuyến khích đối </w:t>
      </w:r>
      <w:r w:rsidRPr="00641B7C">
        <w:rPr>
          <w:sz w:val="28"/>
          <w:szCs w:val="28"/>
        </w:rPr>
        <w:lastRenderedPageBreak/>
        <w:t>thoại giữa nạn nhân và tội phạm, giúp giảm tỷ lệ tái phạm xuống 14% (Sherman et al., 2019).</w:t>
      </w:r>
    </w:p>
    <w:p w14:paraId="2D51B281" w14:textId="77777777" w:rsidR="00EB7885" w:rsidRPr="00641B7C" w:rsidRDefault="00EB7885" w:rsidP="00641B7C">
      <w:pPr>
        <w:spacing w:line="360" w:lineRule="auto"/>
        <w:ind w:firstLine="720"/>
        <w:jc w:val="both"/>
        <w:rPr>
          <w:sz w:val="28"/>
          <w:szCs w:val="28"/>
        </w:rPr>
      </w:pPr>
      <w:r w:rsidRPr="00641B7C">
        <w:rPr>
          <w:sz w:val="28"/>
          <w:szCs w:val="28"/>
        </w:rPr>
        <w:t>Tuy nhiên, một số nhà phê bình cho rằng tính chủ quan của Nguyên tắc Vàng có thể dẫn đến áp đặt văn hóa. Chẳng hạn, giao tiếp trực tiếp phổ biến ở phương Tây có thể không phù hợp với phong cách gián tiếp của các nền văn hóa tập thể (Hofstede, 2001). Các thẩm phán cần cân bằng đồng cảm với sự hiểu biết văn hóa, như trong vụ State v. Maya (2015), nơi bản án của một bị cáo Navajo tôn trọng truyền thống bộ lạc (Yazzie, 2016).</w:t>
      </w:r>
    </w:p>
    <w:p w14:paraId="3239C825" w14:textId="5BAFDB34" w:rsidR="00EB7885" w:rsidRPr="00641B7C" w:rsidRDefault="00EB7885" w:rsidP="00433E9A">
      <w:pPr>
        <w:pStyle w:val="Heading2"/>
      </w:pPr>
      <w:r w:rsidRPr="00641B7C">
        <w:t>7.Kết luận</w:t>
      </w:r>
    </w:p>
    <w:p w14:paraId="6DBFFFA4" w14:textId="0A209F5C" w:rsidR="00F864F0" w:rsidRDefault="00EB7885" w:rsidP="00641B7C">
      <w:pPr>
        <w:spacing w:line="360" w:lineRule="auto"/>
        <w:ind w:firstLine="360"/>
        <w:jc w:val="both"/>
        <w:rPr>
          <w:sz w:val="28"/>
          <w:szCs w:val="28"/>
        </w:rPr>
      </w:pPr>
      <w:r w:rsidRPr="00641B7C">
        <w:rPr>
          <w:sz w:val="28"/>
          <w:szCs w:val="28"/>
        </w:rPr>
        <w:t>Khả năng thích ứng của Nguyên tắc Vàng đảm bảo tính phù hợp của nó qua nhiều thế kỷ. Từ cứu mạng người trên đường ray đến định hình đạo đức doanh nghiệp, nguyên tắc này xây dựng sự đoàn kết qua lòng nhân ái. Dù sự đa dạng văn hóa và cá nhân đòi hỏi sự tinh tế, thông điệp cốt lõi đồng cảm vẫn không thể thiếu. Khi xã hội đối mặt với sự phân cực, nguyên tắc cổ xưa này cung cấp một lộ trình hướng đến lòng trắc ẩn, chứng minh rằng cách chúng ta đối xử với nhau định nghĩa tương lai chung của chúng ta.</w:t>
      </w:r>
    </w:p>
    <w:p w14:paraId="208E46A5" w14:textId="77777777" w:rsidR="00F864F0" w:rsidRDefault="00F864F0">
      <w:pPr>
        <w:rPr>
          <w:sz w:val="28"/>
          <w:szCs w:val="28"/>
        </w:rPr>
      </w:pPr>
      <w:r>
        <w:rPr>
          <w:sz w:val="28"/>
          <w:szCs w:val="28"/>
        </w:rPr>
        <w:br w:type="page"/>
      </w:r>
    </w:p>
    <w:p w14:paraId="76E35429" w14:textId="56ACE725" w:rsidR="00EB7885" w:rsidRPr="00433E9A" w:rsidRDefault="00F864F0" w:rsidP="00433E9A">
      <w:pPr>
        <w:pStyle w:val="Style1"/>
        <w:rPr>
          <w:caps/>
          <w:lang w:val="vi-VN"/>
        </w:rPr>
      </w:pPr>
      <w:r w:rsidRPr="00433E9A">
        <w:rPr>
          <w:caps/>
        </w:rPr>
        <w:lastRenderedPageBreak/>
        <w:t>Nguồn</w:t>
      </w:r>
      <w:r w:rsidRPr="00433E9A">
        <w:rPr>
          <w:caps/>
          <w:lang w:val="vi-VN"/>
        </w:rPr>
        <w:t xml:space="preserve"> Tham Khảo</w:t>
      </w:r>
    </w:p>
    <w:p w14:paraId="0DCFFD11" w14:textId="77777777" w:rsidR="00EB7885" w:rsidRPr="00641B7C" w:rsidRDefault="00EB7885" w:rsidP="00641B7C">
      <w:pPr>
        <w:spacing w:line="360" w:lineRule="auto"/>
        <w:jc w:val="both"/>
        <w:rPr>
          <w:sz w:val="28"/>
          <w:szCs w:val="28"/>
        </w:rPr>
      </w:pPr>
    </w:p>
    <w:p w14:paraId="488BED49" w14:textId="746917D2" w:rsidR="00476633" w:rsidRPr="00476633" w:rsidRDefault="00EB7885" w:rsidP="00476633">
      <w:pPr>
        <w:spacing w:line="360" w:lineRule="auto"/>
        <w:ind w:left="360"/>
        <w:jc w:val="both"/>
        <w:rPr>
          <w:sz w:val="28"/>
          <w:szCs w:val="28"/>
          <w:lang w:val="vi-VN"/>
        </w:rPr>
      </w:pPr>
      <w:r w:rsidRPr="00641B7C">
        <w:rPr>
          <w:sz w:val="28"/>
          <w:szCs w:val="28"/>
        </w:rPr>
        <w:t>[1] Batson, C. D. (1991). </w:t>
      </w:r>
      <w:r w:rsidRPr="00641B7C">
        <w:rPr>
          <w:i/>
          <w:iCs/>
          <w:sz w:val="28"/>
          <w:szCs w:val="28"/>
        </w:rPr>
        <w:t>The altruism question: Toward a social-psychological answer</w:t>
      </w:r>
      <w:r w:rsidRPr="00641B7C">
        <w:rPr>
          <w:sz w:val="28"/>
          <w:szCs w:val="28"/>
        </w:rPr>
        <w:t>. Psychology Press.</w:t>
      </w:r>
      <w:r w:rsidR="00476633">
        <w:rPr>
          <w:sz w:val="28"/>
          <w:szCs w:val="28"/>
          <w:lang w:val="vi-VN"/>
        </w:rPr>
        <w:t xml:space="preserve"> from: </w:t>
      </w:r>
      <w:hyperlink r:id="rId7" w:history="1">
        <w:r w:rsidR="00476633" w:rsidRPr="00476633">
          <w:rPr>
            <w:rStyle w:val="Hyperlink"/>
            <w:sz w:val="28"/>
            <w:szCs w:val="28"/>
            <w:lang w:val="vi-VN"/>
          </w:rPr>
          <w:t>https://www.taylorfrancis.com/books/mono/10.4324/9781315808048/altruism-question-daniel-batson?</w:t>
        </w:r>
      </w:hyperlink>
    </w:p>
    <w:p w14:paraId="5A249874" w14:textId="2BAED1F0" w:rsidR="00EB7885" w:rsidRPr="00641B7C" w:rsidRDefault="00EB7885" w:rsidP="00641B7C">
      <w:pPr>
        <w:spacing w:line="360" w:lineRule="auto"/>
        <w:ind w:left="360"/>
        <w:jc w:val="both"/>
        <w:rPr>
          <w:sz w:val="28"/>
          <w:szCs w:val="28"/>
        </w:rPr>
      </w:pPr>
      <w:r w:rsidRPr="00641B7C">
        <w:rPr>
          <w:sz w:val="28"/>
          <w:szCs w:val="28"/>
        </w:rPr>
        <w:t>[2] Bennett, J. (2001). </w:t>
      </w:r>
      <w:r w:rsidRPr="00641B7C">
        <w:rPr>
          <w:i/>
          <w:iCs/>
          <w:sz w:val="28"/>
          <w:szCs w:val="28"/>
        </w:rPr>
        <w:t>The Platinum Rule</w:t>
      </w:r>
      <w:r w:rsidRPr="00641B7C">
        <w:rPr>
          <w:sz w:val="28"/>
          <w:szCs w:val="28"/>
        </w:rPr>
        <w:t>. Diversity Digest.</w:t>
      </w:r>
      <w:r w:rsidR="00973617">
        <w:rPr>
          <w:sz w:val="28"/>
          <w:szCs w:val="28"/>
        </w:rPr>
        <w:t xml:space="preserve"> from :</w:t>
      </w:r>
      <w:r w:rsidR="00973617" w:rsidRPr="00973617">
        <w:t xml:space="preserve"> </w:t>
      </w:r>
      <w:hyperlink r:id="rId8" w:history="1">
        <w:r w:rsidR="00973617" w:rsidRPr="00973617">
          <w:rPr>
            <w:rStyle w:val="Hyperlink"/>
            <w:sz w:val="28"/>
            <w:szCs w:val="28"/>
          </w:rPr>
          <w:t>https://www.regenerationresources.org/the-platinum-rule</w:t>
        </w:r>
      </w:hyperlink>
    </w:p>
    <w:p w14:paraId="48F972C8" w14:textId="4F6131F7" w:rsidR="00EB7885" w:rsidRPr="00973617" w:rsidRDefault="00EB7885" w:rsidP="00641B7C">
      <w:pPr>
        <w:spacing w:line="360" w:lineRule="auto"/>
        <w:ind w:left="360"/>
        <w:jc w:val="both"/>
        <w:rPr>
          <w:sz w:val="28"/>
          <w:szCs w:val="28"/>
          <w:lang w:val="vi-VN"/>
        </w:rPr>
      </w:pPr>
      <w:r w:rsidRPr="00641B7C">
        <w:rPr>
          <w:i/>
          <w:iCs/>
          <w:sz w:val="28"/>
          <w:szCs w:val="28"/>
        </w:rPr>
        <w:t>[3] Donoghue v</w:t>
      </w:r>
      <w:r w:rsidR="00973617">
        <w:rPr>
          <w:i/>
          <w:iCs/>
          <w:sz w:val="28"/>
          <w:szCs w:val="28"/>
          <w:lang w:val="vi-VN"/>
        </w:rPr>
        <w:t xml:space="preserve"> </w:t>
      </w:r>
      <w:r w:rsidRPr="00641B7C">
        <w:rPr>
          <w:i/>
          <w:iCs/>
          <w:sz w:val="28"/>
          <w:szCs w:val="28"/>
        </w:rPr>
        <w:t>Stevenson</w:t>
      </w:r>
      <w:r w:rsidRPr="00641B7C">
        <w:rPr>
          <w:sz w:val="28"/>
          <w:szCs w:val="28"/>
        </w:rPr>
        <w:t> [1932] UKHL 100.</w:t>
      </w:r>
      <w:r w:rsidR="00973617">
        <w:rPr>
          <w:sz w:val="28"/>
          <w:szCs w:val="28"/>
          <w:lang w:val="vi-VN"/>
        </w:rPr>
        <w:t xml:space="preserve"> from: </w:t>
      </w:r>
      <w:hyperlink r:id="rId9" w:history="1">
        <w:r w:rsidR="00973617" w:rsidRPr="00973617">
          <w:rPr>
            <w:rStyle w:val="Hyperlink"/>
            <w:sz w:val="28"/>
            <w:szCs w:val="28"/>
            <w:lang w:val="vi-VN"/>
          </w:rPr>
          <w:t>https://www.lawteacher.net/cases/donoghue-v-stevenson.php</w:t>
        </w:r>
      </w:hyperlink>
    </w:p>
    <w:p w14:paraId="24B537ED" w14:textId="7E09CA8F" w:rsidR="00EB7885" w:rsidRPr="00F864F0" w:rsidRDefault="00EB7885" w:rsidP="00641B7C">
      <w:pPr>
        <w:spacing w:line="360" w:lineRule="auto"/>
        <w:ind w:left="360"/>
        <w:jc w:val="both"/>
        <w:rPr>
          <w:sz w:val="28"/>
          <w:szCs w:val="28"/>
          <w:lang w:val="vi-VN"/>
        </w:rPr>
      </w:pPr>
      <w:r w:rsidRPr="00641B7C">
        <w:rPr>
          <w:sz w:val="28"/>
          <w:szCs w:val="28"/>
        </w:rPr>
        <w:t>[4] Espelage, D. L., et al. (2015). </w:t>
      </w:r>
      <w:r w:rsidRPr="00641B7C">
        <w:rPr>
          <w:i/>
          <w:iCs/>
          <w:sz w:val="28"/>
          <w:szCs w:val="28"/>
        </w:rPr>
        <w:t>Handbook of bullying in schools: An international perspective</w:t>
      </w:r>
      <w:r w:rsidRPr="00641B7C">
        <w:rPr>
          <w:sz w:val="28"/>
          <w:szCs w:val="28"/>
        </w:rPr>
        <w:t>. Routledge.</w:t>
      </w:r>
      <w:r w:rsidR="00F864F0">
        <w:rPr>
          <w:sz w:val="28"/>
          <w:szCs w:val="28"/>
          <w:lang w:val="vi-VN"/>
        </w:rPr>
        <w:t xml:space="preserve"> from: </w:t>
      </w:r>
      <w:hyperlink r:id="rId10" w:history="1">
        <w:r w:rsidR="00F864F0" w:rsidRPr="00F864F0">
          <w:rPr>
            <w:rStyle w:val="Hyperlink"/>
            <w:sz w:val="28"/>
            <w:szCs w:val="28"/>
            <w:lang w:val="vi-VN"/>
          </w:rPr>
          <w:t>https://www.researchgate.net/publication/259249697_Handbook_of_bullying_in_schools_An_international_perspective</w:t>
        </w:r>
      </w:hyperlink>
    </w:p>
    <w:p w14:paraId="572F4DB2" w14:textId="684F400E" w:rsidR="00EB7885" w:rsidRPr="00476633" w:rsidRDefault="00EB7885" w:rsidP="00641B7C">
      <w:pPr>
        <w:spacing w:line="360" w:lineRule="auto"/>
        <w:ind w:left="360"/>
        <w:jc w:val="both"/>
        <w:rPr>
          <w:sz w:val="28"/>
          <w:szCs w:val="28"/>
          <w:lang w:val="vi-VN"/>
        </w:rPr>
      </w:pPr>
      <w:r w:rsidRPr="00641B7C">
        <w:rPr>
          <w:sz w:val="28"/>
          <w:szCs w:val="28"/>
        </w:rPr>
        <w:t>[5] Gordon, M. (2005). </w:t>
      </w:r>
      <w:r w:rsidRPr="00641B7C">
        <w:rPr>
          <w:i/>
          <w:iCs/>
          <w:sz w:val="28"/>
          <w:szCs w:val="28"/>
        </w:rPr>
        <w:t>Roots of empathy: Changing the world child by child</w:t>
      </w:r>
      <w:r w:rsidRPr="00641B7C">
        <w:rPr>
          <w:sz w:val="28"/>
          <w:szCs w:val="28"/>
        </w:rPr>
        <w:t>. Thomas Allen &amp; Son.</w:t>
      </w:r>
      <w:r w:rsidR="00476633">
        <w:rPr>
          <w:sz w:val="28"/>
          <w:szCs w:val="28"/>
          <w:lang w:val="vi-VN"/>
        </w:rPr>
        <w:t xml:space="preserve"> from: </w:t>
      </w:r>
      <w:hyperlink r:id="rId11" w:history="1">
        <w:r w:rsidR="00476633" w:rsidRPr="00476633">
          <w:rPr>
            <w:rStyle w:val="Hyperlink"/>
            <w:sz w:val="28"/>
            <w:szCs w:val="28"/>
            <w:lang w:val="vi-VN"/>
          </w:rPr>
          <w:t>https://archive.org/details/rootsofempathych0000gord?</w:t>
        </w:r>
      </w:hyperlink>
      <w:r w:rsidR="00476633" w:rsidRPr="00476633">
        <w:rPr>
          <w:sz w:val="28"/>
          <w:szCs w:val="28"/>
          <w:lang w:val="vi-VN"/>
        </w:rPr>
        <w:t xml:space="preserve"> </w:t>
      </w:r>
    </w:p>
    <w:p w14:paraId="4CC49442" w14:textId="06EE3896" w:rsidR="00EB7885" w:rsidRDefault="00EB7885" w:rsidP="00641B7C">
      <w:pPr>
        <w:spacing w:line="360" w:lineRule="auto"/>
        <w:ind w:left="360"/>
        <w:jc w:val="both"/>
        <w:rPr>
          <w:sz w:val="28"/>
          <w:szCs w:val="28"/>
          <w:lang w:val="vi-VN"/>
        </w:rPr>
      </w:pPr>
      <w:r w:rsidRPr="00641B7C">
        <w:rPr>
          <w:sz w:val="28"/>
          <w:szCs w:val="28"/>
        </w:rPr>
        <w:t>[6]Hofstede, G. (2001). </w:t>
      </w:r>
      <w:r w:rsidRPr="00641B7C">
        <w:rPr>
          <w:i/>
          <w:iCs/>
          <w:sz w:val="28"/>
          <w:szCs w:val="28"/>
        </w:rPr>
        <w:t>Culture’s consequences: Comparing values, behaviors, institutions, and organizations across nations</w:t>
      </w:r>
      <w:r w:rsidRPr="00641B7C">
        <w:rPr>
          <w:sz w:val="28"/>
          <w:szCs w:val="28"/>
        </w:rPr>
        <w:t>. Sage.</w:t>
      </w:r>
      <w:r w:rsidR="00476633">
        <w:rPr>
          <w:sz w:val="28"/>
          <w:szCs w:val="28"/>
          <w:lang w:val="vi-VN"/>
        </w:rPr>
        <w:t xml:space="preserve"> from:</w:t>
      </w:r>
    </w:p>
    <w:p w14:paraId="476B33E1" w14:textId="0061E2E2" w:rsidR="00476633" w:rsidRDefault="00476633" w:rsidP="00641B7C">
      <w:pPr>
        <w:spacing w:line="360" w:lineRule="auto"/>
        <w:ind w:left="360"/>
        <w:jc w:val="both"/>
      </w:pPr>
      <w:hyperlink r:id="rId12" w:history="1">
        <w:r w:rsidRPr="00476633">
          <w:rPr>
            <w:rStyle w:val="Hyperlink"/>
            <w:sz w:val="28"/>
            <w:szCs w:val="28"/>
            <w:lang w:val="vi-VN"/>
          </w:rPr>
          <w:t>https://www.researchgate.net/publication/248393979_Geert_Hofstede_Culture's_Consequences_Comparing_Values_Behaviours_Institutions_and_Organizations_Across_Nations</w:t>
        </w:r>
      </w:hyperlink>
    </w:p>
    <w:p w14:paraId="14C0AD80" w14:textId="3880C70E" w:rsidR="00ED10E4" w:rsidRPr="00476633" w:rsidRDefault="00ED10E4" w:rsidP="00641B7C">
      <w:pPr>
        <w:spacing w:line="360" w:lineRule="auto"/>
        <w:ind w:left="360"/>
        <w:jc w:val="both"/>
        <w:rPr>
          <w:sz w:val="28"/>
          <w:szCs w:val="28"/>
          <w:lang w:val="vi-VN"/>
        </w:rPr>
      </w:pPr>
      <w:r>
        <w:lastRenderedPageBreak/>
        <w:t xml:space="preserve">[7] </w:t>
      </w:r>
      <w:hyperlink r:id="rId13" w:history="1">
        <w:r w:rsidRPr="00ED10E4">
          <w:rPr>
            <w:rStyle w:val="Hyperlink"/>
          </w:rPr>
          <w:t>https://www.brandsvietnam.com/6247-case-study-khung-hoang-thuoc-gay-tu-vong-va-bai-hoc-tu-tylenol</w:t>
        </w:r>
      </w:hyperlink>
    </w:p>
    <w:p w14:paraId="0A1536A2" w14:textId="0CAC0BA6" w:rsidR="00EB7885" w:rsidRPr="00EB7885" w:rsidRDefault="00ED10E4" w:rsidP="00641B7C">
      <w:pPr>
        <w:spacing w:line="360" w:lineRule="auto"/>
        <w:ind w:left="360"/>
        <w:jc w:val="both"/>
      </w:pPr>
      <w:r>
        <w:tab/>
      </w:r>
      <w:r>
        <w:tab/>
      </w:r>
    </w:p>
    <w:sectPr w:rsidR="00EB7885" w:rsidRPr="00EB788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D956E" w14:textId="77777777" w:rsidR="003125AB" w:rsidRDefault="003125AB" w:rsidP="00EB7885">
      <w:pPr>
        <w:spacing w:after="0" w:line="240" w:lineRule="auto"/>
      </w:pPr>
      <w:r>
        <w:separator/>
      </w:r>
    </w:p>
  </w:endnote>
  <w:endnote w:type="continuationSeparator" w:id="0">
    <w:p w14:paraId="0DFB2D40" w14:textId="77777777" w:rsidR="003125AB" w:rsidRDefault="003125AB" w:rsidP="00EB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4327051"/>
      <w:docPartObj>
        <w:docPartGallery w:val="Page Numbers (Bottom of Page)"/>
        <w:docPartUnique/>
      </w:docPartObj>
    </w:sdtPr>
    <w:sdtEndPr>
      <w:rPr>
        <w:color w:val="7F7F7F" w:themeColor="background1" w:themeShade="7F"/>
        <w:spacing w:val="60"/>
      </w:rPr>
    </w:sdtEndPr>
    <w:sdtContent>
      <w:p w14:paraId="530EC9B8" w14:textId="2140ACDD" w:rsidR="001E7AE1" w:rsidRPr="001E7AE1" w:rsidRDefault="001E7AE1">
        <w:pPr>
          <w:pStyle w:val="Footer"/>
          <w:pBdr>
            <w:top w:val="single" w:sz="4" w:space="1" w:color="D9D9D9" w:themeColor="background1" w:themeShade="D9"/>
          </w:pBdr>
          <w:rPr>
            <w:color w:val="7F7F7F" w:themeColor="background1" w:themeShade="7F"/>
            <w:spacing w:val="60"/>
          </w:rPr>
        </w:pPr>
        <w:r w:rsidRPr="001E7AE1">
          <w:t>|</w:t>
        </w:r>
        <w:r>
          <w:t xml:space="preserve"> </w:t>
        </w:r>
        <w:r>
          <w:rPr>
            <w:color w:val="7F7F7F" w:themeColor="background1" w:themeShade="7F"/>
            <w:spacing w:val="60"/>
          </w:rPr>
          <w:t xml:space="preserve">Golden Rule </w:t>
        </w:r>
        <w:r>
          <w:t xml:space="preserve">                                                                                                                                                 </w:t>
        </w: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6B45DDCA" w14:textId="77777777" w:rsidR="00EB7885" w:rsidRDefault="00EB7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CDA48" w14:textId="77777777" w:rsidR="003125AB" w:rsidRDefault="003125AB" w:rsidP="00EB7885">
      <w:pPr>
        <w:spacing w:after="0" w:line="240" w:lineRule="auto"/>
      </w:pPr>
      <w:r>
        <w:separator/>
      </w:r>
    </w:p>
  </w:footnote>
  <w:footnote w:type="continuationSeparator" w:id="0">
    <w:p w14:paraId="073B06DB" w14:textId="77777777" w:rsidR="003125AB" w:rsidRDefault="003125AB" w:rsidP="00EB7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9210E"/>
    <w:multiLevelType w:val="multilevel"/>
    <w:tmpl w:val="8CC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2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85"/>
    <w:rsid w:val="00152109"/>
    <w:rsid w:val="001E7AE1"/>
    <w:rsid w:val="003125AB"/>
    <w:rsid w:val="003C2311"/>
    <w:rsid w:val="00433E9A"/>
    <w:rsid w:val="00476633"/>
    <w:rsid w:val="00525595"/>
    <w:rsid w:val="00641B7C"/>
    <w:rsid w:val="00664E4E"/>
    <w:rsid w:val="008549EF"/>
    <w:rsid w:val="00973617"/>
    <w:rsid w:val="00987356"/>
    <w:rsid w:val="00A42671"/>
    <w:rsid w:val="00A92E28"/>
    <w:rsid w:val="00C93F30"/>
    <w:rsid w:val="00D22312"/>
    <w:rsid w:val="00EB7885"/>
    <w:rsid w:val="00ED10E4"/>
    <w:rsid w:val="00F8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193D4"/>
  <w15:chartTrackingRefBased/>
  <w15:docId w15:val="{50B7387D-7B4F-4C90-A0FA-C62B318F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E9A"/>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EB7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E9A"/>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semiHidden/>
    <w:rsid w:val="00EB7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885"/>
    <w:rPr>
      <w:rFonts w:eastAsiaTheme="majorEastAsia" w:cstheme="majorBidi"/>
      <w:color w:val="272727" w:themeColor="text1" w:themeTint="D8"/>
    </w:rPr>
  </w:style>
  <w:style w:type="paragraph" w:styleId="Title">
    <w:name w:val="Title"/>
    <w:basedOn w:val="Normal"/>
    <w:next w:val="Normal"/>
    <w:link w:val="TitleChar"/>
    <w:uiPriority w:val="10"/>
    <w:qFormat/>
    <w:rsid w:val="00EB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885"/>
    <w:pPr>
      <w:spacing w:before="160"/>
      <w:jc w:val="center"/>
    </w:pPr>
    <w:rPr>
      <w:i/>
      <w:iCs/>
      <w:color w:val="404040" w:themeColor="text1" w:themeTint="BF"/>
    </w:rPr>
  </w:style>
  <w:style w:type="character" w:customStyle="1" w:styleId="QuoteChar">
    <w:name w:val="Quote Char"/>
    <w:basedOn w:val="DefaultParagraphFont"/>
    <w:link w:val="Quote"/>
    <w:uiPriority w:val="29"/>
    <w:rsid w:val="00EB7885"/>
    <w:rPr>
      <w:i/>
      <w:iCs/>
      <w:color w:val="404040" w:themeColor="text1" w:themeTint="BF"/>
    </w:rPr>
  </w:style>
  <w:style w:type="paragraph" w:styleId="ListParagraph">
    <w:name w:val="List Paragraph"/>
    <w:basedOn w:val="Normal"/>
    <w:uiPriority w:val="34"/>
    <w:qFormat/>
    <w:rsid w:val="00EB7885"/>
    <w:pPr>
      <w:ind w:left="720"/>
      <w:contextualSpacing/>
    </w:pPr>
  </w:style>
  <w:style w:type="character" w:styleId="IntenseEmphasis">
    <w:name w:val="Intense Emphasis"/>
    <w:basedOn w:val="DefaultParagraphFont"/>
    <w:uiPriority w:val="21"/>
    <w:qFormat/>
    <w:rsid w:val="00EB7885"/>
    <w:rPr>
      <w:i/>
      <w:iCs/>
      <w:color w:val="0F4761" w:themeColor="accent1" w:themeShade="BF"/>
    </w:rPr>
  </w:style>
  <w:style w:type="paragraph" w:styleId="IntenseQuote">
    <w:name w:val="Intense Quote"/>
    <w:basedOn w:val="Normal"/>
    <w:next w:val="Normal"/>
    <w:link w:val="IntenseQuoteChar"/>
    <w:uiPriority w:val="30"/>
    <w:qFormat/>
    <w:rsid w:val="00EB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885"/>
    <w:rPr>
      <w:i/>
      <w:iCs/>
      <w:color w:val="0F4761" w:themeColor="accent1" w:themeShade="BF"/>
    </w:rPr>
  </w:style>
  <w:style w:type="character" w:styleId="IntenseReference">
    <w:name w:val="Intense Reference"/>
    <w:basedOn w:val="DefaultParagraphFont"/>
    <w:uiPriority w:val="32"/>
    <w:qFormat/>
    <w:rsid w:val="00EB7885"/>
    <w:rPr>
      <w:b/>
      <w:bCs/>
      <w:smallCaps/>
      <w:color w:val="0F4761" w:themeColor="accent1" w:themeShade="BF"/>
      <w:spacing w:val="5"/>
    </w:rPr>
  </w:style>
  <w:style w:type="paragraph" w:styleId="Header">
    <w:name w:val="header"/>
    <w:basedOn w:val="Normal"/>
    <w:link w:val="HeaderChar"/>
    <w:uiPriority w:val="99"/>
    <w:unhideWhenUsed/>
    <w:rsid w:val="00EB7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885"/>
  </w:style>
  <w:style w:type="paragraph" w:styleId="Footer">
    <w:name w:val="footer"/>
    <w:basedOn w:val="Normal"/>
    <w:link w:val="FooterChar"/>
    <w:uiPriority w:val="99"/>
    <w:unhideWhenUsed/>
    <w:rsid w:val="00EB7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885"/>
  </w:style>
  <w:style w:type="character" w:styleId="Hyperlink">
    <w:name w:val="Hyperlink"/>
    <w:basedOn w:val="DefaultParagraphFont"/>
    <w:uiPriority w:val="99"/>
    <w:unhideWhenUsed/>
    <w:rsid w:val="00973617"/>
    <w:rPr>
      <w:color w:val="467886" w:themeColor="hyperlink"/>
      <w:u w:val="single"/>
    </w:rPr>
  </w:style>
  <w:style w:type="character" w:styleId="UnresolvedMention">
    <w:name w:val="Unresolved Mention"/>
    <w:basedOn w:val="DefaultParagraphFont"/>
    <w:uiPriority w:val="99"/>
    <w:semiHidden/>
    <w:unhideWhenUsed/>
    <w:rsid w:val="00973617"/>
    <w:rPr>
      <w:color w:val="605E5C"/>
      <w:shd w:val="clear" w:color="auto" w:fill="E1DFDD"/>
    </w:rPr>
  </w:style>
  <w:style w:type="character" w:styleId="FollowedHyperlink">
    <w:name w:val="FollowedHyperlink"/>
    <w:basedOn w:val="DefaultParagraphFont"/>
    <w:uiPriority w:val="99"/>
    <w:semiHidden/>
    <w:unhideWhenUsed/>
    <w:rsid w:val="00973617"/>
    <w:rPr>
      <w:color w:val="96607D" w:themeColor="followedHyperlink"/>
      <w:u w:val="single"/>
    </w:rPr>
  </w:style>
  <w:style w:type="paragraph" w:customStyle="1" w:styleId="Style1">
    <w:name w:val="Style1"/>
    <w:basedOn w:val="Heading1"/>
    <w:qFormat/>
    <w:rsid w:val="00433E9A"/>
    <w:pPr>
      <w:jc w:val="center"/>
    </w:pPr>
    <w:rPr>
      <w:rFonts w:ascii="Times New Roman" w:hAnsi="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074650">
      <w:bodyDiv w:val="1"/>
      <w:marLeft w:val="0"/>
      <w:marRight w:val="0"/>
      <w:marTop w:val="0"/>
      <w:marBottom w:val="0"/>
      <w:divBdr>
        <w:top w:val="none" w:sz="0" w:space="0" w:color="auto"/>
        <w:left w:val="none" w:sz="0" w:space="0" w:color="auto"/>
        <w:bottom w:val="none" w:sz="0" w:space="0" w:color="auto"/>
        <w:right w:val="none" w:sz="0" w:space="0" w:color="auto"/>
      </w:divBdr>
    </w:div>
    <w:div w:id="875048175">
      <w:bodyDiv w:val="1"/>
      <w:marLeft w:val="0"/>
      <w:marRight w:val="0"/>
      <w:marTop w:val="0"/>
      <w:marBottom w:val="0"/>
      <w:divBdr>
        <w:top w:val="none" w:sz="0" w:space="0" w:color="auto"/>
        <w:left w:val="none" w:sz="0" w:space="0" w:color="auto"/>
        <w:bottom w:val="none" w:sz="0" w:space="0" w:color="auto"/>
        <w:right w:val="none" w:sz="0" w:space="0" w:color="auto"/>
      </w:divBdr>
    </w:div>
    <w:div w:id="1063409879">
      <w:bodyDiv w:val="1"/>
      <w:marLeft w:val="0"/>
      <w:marRight w:val="0"/>
      <w:marTop w:val="0"/>
      <w:marBottom w:val="0"/>
      <w:divBdr>
        <w:top w:val="none" w:sz="0" w:space="0" w:color="auto"/>
        <w:left w:val="none" w:sz="0" w:space="0" w:color="auto"/>
        <w:bottom w:val="none" w:sz="0" w:space="0" w:color="auto"/>
        <w:right w:val="none" w:sz="0" w:space="0" w:color="auto"/>
      </w:divBdr>
    </w:div>
    <w:div w:id="125647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enerationresources.org/the-platinum-rule" TargetMode="External"/><Relationship Id="rId13" Type="http://schemas.openxmlformats.org/officeDocument/2006/relationships/hyperlink" Target="https://www.brandsvietnam.com/6247-case-study-khung-hoang-thuoc-gay-tu-vong-va-bai-hoc-tu-tylenol" TargetMode="External"/><Relationship Id="rId3" Type="http://schemas.openxmlformats.org/officeDocument/2006/relationships/settings" Target="settings.xml"/><Relationship Id="rId7" Type="http://schemas.openxmlformats.org/officeDocument/2006/relationships/hyperlink" Target="https://www.taylorfrancis.com/books/mono/10.4324/9781315808048/altruism-question-daniel-batson?" TargetMode="External"/><Relationship Id="rId12" Type="http://schemas.openxmlformats.org/officeDocument/2006/relationships/hyperlink" Target="https://www.researchgate.net/publication/248393979_Geert_Hofstede_Culture's_Consequences_Comparing_Values_Behaviours_Institutions_and_Organizations_Across_N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org/details/rootsofempathych0000gord?utm_source=chatgp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259249697_Handbook_of_bullying_in_schools_An_international_perspective" TargetMode="External"/><Relationship Id="rId4" Type="http://schemas.openxmlformats.org/officeDocument/2006/relationships/webSettings" Target="webSettings.xml"/><Relationship Id="rId9" Type="http://schemas.openxmlformats.org/officeDocument/2006/relationships/hyperlink" Target="https://www.lawteacher.net/cases/donoghue-v-stevenson.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Chương</dc:creator>
  <cp:keywords/>
  <dc:description/>
  <cp:lastModifiedBy>Minh Chương</cp:lastModifiedBy>
  <cp:revision>7</cp:revision>
  <dcterms:created xsi:type="dcterms:W3CDTF">2025-02-22T11:11:00Z</dcterms:created>
  <dcterms:modified xsi:type="dcterms:W3CDTF">2025-02-26T12:29:00Z</dcterms:modified>
</cp:coreProperties>
</file>