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Nhập môn Thị giác máy tính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Tài liệu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Bài báo (papers)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Các mô hình mới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http://paperswithcode.com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Lý thuyết (sách)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Kinh điển, phổ biến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Rãi rác, nguồn gốc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266700</wp:posOffset>
            </wp:positionV>
            <wp:extent cx="1352226" cy="129058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226" cy="1290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Giữa kỳ (Thuyết trình)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(Báo cáo theo thứ tự độ khó của đề tài)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hiểu ít nhất 03 chủ đề trong danh sách các chủ đề về Computer Vision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Tổng hợp từ các nguồn tài liệu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Báo cáo để lớp có thể hiểu được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Các nhóm khác đặt câu hỏi cho nhóm báo cáo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+ demo (tối thiểu 1 chủ đề để minh họa cho lý thuyết)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Link chủ đề và đăng ký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760807" cy="17096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807" cy="170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Cuối kỳ (4-5 tuần)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01 bài báo (hướng nghiên cứu)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kỹ mô hình (đọc hiểu, customize)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số liệu thực nghiệm, so sánh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một ứng dụng trong lĩnh vực Computer Vision (hướng ứng dụng)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Vận dụng mô hình CV vào giải quyết bài toán thực tế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+ slide + demo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