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sz w:val="48"/>
          <w:szCs w:val="48"/>
        </w:rPr>
        <w:t xml:space="preserve">Social Media Platform for Artists</w:t>
      </w:r>
    </w:p>
    <w:p>
      <w:pPr>
        <w:spacing w:after="120"/>
        <w:jc w:val="center"/>
      </w:pPr>
      <w:r>
        <w:rPr>
          <w:color w:val="666666"/>
          <w:sz w:val="32"/>
          <w:szCs w:val="32"/>
        </w:rPr>
        <w:t xml:space="preserve">Design Documentation</w:t>
      </w:r>
    </w:p>
    <w:p>
      <w:pPr>
        <w:spacing w:before="720" w:after="240"/>
        <w:jc w:val="center"/>
      </w:pPr>
      <w:r>
        <w:rPr>
          <w:i/>
          <w:iCs/>
          <w:sz w:val="24"/>
          <w:szCs w:val="24"/>
        </w:rPr>
        <w:t xml:space="preserve">Design Concept by Yevhen Ledenov</w:t>
      </w:r>
    </w:p>
    <w:p>
      <w:pPr>
        <w:spacing w:after="240"/>
        <w:jc w:val="center"/>
      </w:pPr>
      <w:r>
        <w:rPr>
          <w:color w:val="999999"/>
          <w:sz w:val="20"/>
          <w:szCs w:val="20"/>
        </w:rPr>
        <w:t xml:space="preserve">Dribbble Concept ID: 18439633</w:t>
      </w:r>
    </w:p>
    <w:p>
      <w:pPr>
        <w:spacing w:after="2880"/>
        <w:jc w:val="center"/>
      </w:pPr>
      <w:r>
        <w:rPr>
          <w:color w:val="999999"/>
          <w:sz w:val="20"/>
          <w:szCs w:val="20"/>
        </w:rPr>
        <w:t xml:space="preserve">Documentation Date: February 2,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80"/>
      </w:pPr>
      <w:r>
        <w:t xml:space="preserve">This design document outlines the conceptual framework and design specifications for a specialized social media platform tailored specifically for artists, designers, and creative professionals. The platform aims to create a vibrant community where visual creators can showcase their work, connect with peers, discover opportunities, and build their professional presence in an environment optimized for creative content.</w:t>
      </w:r>
    </w:p>
    <w:p>
      <w:pPr>
        <w:spacing w:after="360"/>
      </w:pPr>
      <w:r>
        <w:t xml:space="preserve">The design emphasizes visual hierarchy, clean aesthetics, and intuitive navigation patterns that respect the visual nature of artistic content while providing robust community and discovery features.</w:t>
      </w:r>
    </w:p>
    <w:p>
      <w:pPr>
        <w:pStyle w:val="Heading1"/>
      </w:pPr>
      <w:r>
        <w:t xml:space="preserve">Project Overview</w:t>
      </w:r>
    </w:p>
    <w:p>
      <w:pPr>
        <w:pStyle w:val="Heading2"/>
      </w:pPr>
      <w:r>
        <w:t xml:space="preserve">Vision Statement</w:t>
      </w:r>
    </w:p>
    <w:p>
      <w:pPr>
        <w:spacing w:after="180"/>
      </w:pPr>
      <w:r>
        <w:t xml:space="preserve">To create the premier digital destination where artists can authentically share their creative journey, build meaningful professional relationships, and access opportunities that advance their careers—all within a platform designed with artists' unique needs at its core.</w:t>
      </w:r>
    </w:p>
    <w:p>
      <w:pPr>
        <w:pStyle w:val="Heading2"/>
      </w:pPr>
      <w:r>
        <w:t xml:space="preserve">Target Audience</w:t>
      </w:r>
    </w:p>
    <w:p>
      <w:pPr>
        <w:pStyle w:val="ListParagraph"/>
        <w:numPr>
          <w:ilvl w:val="0"/>
          <w:numId w:val="2"/>
        </w:numPr>
      </w:pPr>
      <w:r>
        <w:t xml:space="preserve">Digital illustrators and graphic designers seeking portfolio exposure and client connections</w:t>
      </w:r>
    </w:p>
    <w:p>
      <w:pPr>
        <w:pStyle w:val="ListParagraph"/>
        <w:numPr>
          <w:ilvl w:val="0"/>
          <w:numId w:val="2"/>
        </w:numPr>
      </w:pPr>
      <w:r>
        <w:t xml:space="preserve">UI/UX designers sharing work-in-progress shots and design processes</w:t>
      </w:r>
    </w:p>
    <w:p>
      <w:pPr>
        <w:pStyle w:val="ListParagraph"/>
        <w:numPr>
          <w:ilvl w:val="0"/>
          <w:numId w:val="2"/>
        </w:numPr>
      </w:pPr>
      <w:r>
        <w:t xml:space="preserve">Traditional artists transitioning to digital platforms for wider reach</w:t>
      </w:r>
    </w:p>
    <w:p>
      <w:pPr>
        <w:pStyle w:val="ListParagraph"/>
        <w:numPr>
          <w:ilvl w:val="0"/>
          <w:numId w:val="2"/>
        </w:numPr>
      </w:pPr>
      <w:r>
        <w:t xml:space="preserve">Art directors and creative recruiters discovering talent</w:t>
      </w:r>
    </w:p>
    <w:p>
      <w:pPr>
        <w:pStyle w:val="ListParagraph"/>
        <w:numPr>
          <w:ilvl w:val="0"/>
          <w:numId w:val="2"/>
        </w:numPr>
      </w:pPr>
      <w:r>
        <w:t xml:space="preserve">Design students building their professional networks and portfolios</w:t>
      </w:r>
    </w:p>
    <w:p>
      <w:pPr>
        <w:pStyle w:val="ListParagraph"/>
        <w:numPr>
          <w:ilvl w:val="0"/>
          <w:numId w:val="2"/>
        </w:numPr>
        <w:spacing w:after="360"/>
      </w:pPr>
      <w:r>
        <w:t xml:space="preserve">Creative agencies showcasing team capabilities and studio culture</w:t>
      </w:r>
    </w:p>
    <w:p>
      <w:pPr>
        <w:pStyle w:val="Heading2"/>
      </w:pPr>
      <w:r>
        <w:t xml:space="preserve">Core Objectives</w:t>
      </w:r>
    </w:p>
    <w:p>
      <w:pPr>
        <w:pStyle w:val="ListParagraph"/>
        <w:numPr>
          <w:ilvl w:val="0"/>
          <w:numId w:val="2"/>
        </w:numPr>
      </w:pPr>
      <w:r>
        <w:t xml:space="preserve">Enable artists to present their work in the best possible light with high-quality image display</w:t>
      </w:r>
    </w:p>
    <w:p>
      <w:pPr>
        <w:pStyle w:val="ListParagraph"/>
        <w:numPr>
          <w:ilvl w:val="0"/>
          <w:numId w:val="2"/>
        </w:numPr>
      </w:pPr>
      <w:r>
        <w:t xml:space="preserve">Foster genuine creative community through meaningful interactions and feedback</w:t>
      </w:r>
    </w:p>
    <w:p>
      <w:pPr>
        <w:pStyle w:val="ListParagraph"/>
        <w:numPr>
          <w:ilvl w:val="0"/>
          <w:numId w:val="2"/>
        </w:numPr>
      </w:pPr>
      <w:r>
        <w:t xml:space="preserve">Facilitate professional opportunities and talent discovery</w:t>
      </w:r>
    </w:p>
    <w:p>
      <w:pPr>
        <w:pStyle w:val="ListParagraph"/>
        <w:numPr>
          <w:ilvl w:val="0"/>
          <w:numId w:val="2"/>
        </w:numPr>
      </w:pPr>
      <w:r>
        <w:t xml:space="preserve">Provide inspiration through curated and algorithmic content discovery</w:t>
      </w:r>
    </w:p>
    <w:p>
      <w:pPr>
        <w:pStyle w:val="ListParagraph"/>
        <w:numPr>
          <w:ilvl w:val="0"/>
          <w:numId w:val="2"/>
        </w:numPr>
        <w:spacing w:after="360"/>
      </w:pPr>
      <w:r>
        <w:t xml:space="preserve">Support artists' professional growth with analytics, insights, and networking tools</w:t>
      </w:r>
    </w:p>
    <w:p>
      <w:r>
        <w:br w:type="page"/>
      </w:r>
    </w:p>
    <w:p>
      <w:pPr>
        <w:pStyle w:val="Heading1"/>
      </w:pPr>
      <w:r>
        <w:t xml:space="preserve">Design Principles</w:t>
      </w:r>
    </w:p>
    <w:p>
      <w:pPr>
        <w:pStyle w:val="Heading2"/>
      </w:pPr>
      <w:r>
        <w:t xml:space="preserve">Visual-First Approach</w:t>
      </w:r>
    </w:p>
    <w:p>
      <w:pPr>
        <w:spacing w:after="180"/>
      </w:pPr>
      <w:r>
        <w:t xml:space="preserve">The design prioritizes visual content above all else. Artwork should be the hero of every screen, with interface elements serving to enhance rather than distract from the creative work being showcased. This means generous whitespace, minimal chrome, and typography that complements rather than competes with visual content.</w:t>
      </w:r>
    </w:p>
    <w:p>
      <w:pPr>
        <w:pStyle w:val="Heading2"/>
      </w:pPr>
      <w:r>
        <w:t xml:space="preserve">Clean and Contemporary Aesthetic</w:t>
      </w:r>
    </w:p>
    <w:p>
      <w:pPr>
        <w:spacing w:after="180"/>
      </w:pPr>
      <w:r>
        <w:t xml:space="preserve">The interface employs a modern, clean aesthetic with careful attention to typography, spacing, and visual hierarchy. A neutral color palette ensures that artist content remains the focus while maintaining a professional and polished appearance that appeals to both creators and potential clients.</w:t>
      </w:r>
    </w:p>
    <w:p>
      <w:pPr>
        <w:pStyle w:val="Heading2"/>
      </w:pPr>
      <w:r>
        <w:t xml:space="preserve">Intuitive Navigation</w:t>
      </w:r>
    </w:p>
    <w:p>
      <w:pPr>
        <w:spacing w:after="180"/>
      </w:pPr>
      <w:r>
        <w:t xml:space="preserve">Navigation patterns follow established conventions from successful social platforms while adapting them for creative content. Users should immediately understand how to discover content, engage with the community, and manage their own presence without extensive onboarding.</w:t>
      </w:r>
    </w:p>
    <w:p>
      <w:pPr>
        <w:pStyle w:val="Heading2"/>
      </w:pPr>
      <w:r>
        <w:t xml:space="preserve">Responsive and Accessible</w:t>
      </w:r>
    </w:p>
    <w:p>
      <w:pPr>
        <w:spacing w:after="180"/>
      </w:pPr>
      <w:r>
        <w:t xml:space="preserve">The design system accommodates various screen sizes and devices while maintaining visual integrity. Accessibility considerations ensure that the platform is usable by artists and viewers with diverse abilities, including proper contrast ratios, keyboard navigation, and screen reader support.</w:t>
      </w:r>
    </w:p>
    <w:p>
      <w:pPr>
        <w:pStyle w:val="Heading2"/>
      </w:pPr>
      <w:r>
        <w:t xml:space="preserve">Community-Centered</w:t>
      </w:r>
    </w:p>
    <w:p>
      <w:pPr>
        <w:spacing w:after="360"/>
      </w:pPr>
      <w:r>
        <w:t xml:space="preserve">Every design decision considers how it affects community building and interpersonal connections. Features encourage constructive feedback, genuine engagement, and the development of professional relationships rather than vanity metrics or superficial interactions.</w:t>
      </w:r>
    </w:p>
    <w:p>
      <w:r>
        <w:br w:type="page"/>
      </w:r>
    </w:p>
    <w:p>
      <w:pPr>
        <w:pStyle w:val="Heading1"/>
      </w:pPr>
      <w:r>
        <w:t xml:space="preserve">Key Features</w:t>
      </w:r>
    </w:p>
    <w:p>
      <w:pPr>
        <w:pStyle w:val="Heading2"/>
      </w:pPr>
      <w:r>
        <w:t xml:space="preserve">1. Artist Profiles</w:t>
      </w:r>
    </w:p>
    <w:p>
      <w:pPr>
        <w:pStyle w:val="Heading3"/>
      </w:pPr>
      <w:r>
        <w:t xml:space="preserve">Profile Layout</w:t>
      </w:r>
    </w:p>
    <w:p>
      <w:pPr>
        <w:spacing w:after="120"/>
      </w:pPr>
      <w:r>
        <w:t xml:space="preserve">Artist profiles serve as both portfolio and professional identity. The profile features a customizable header area for branding, followed by a curated grid of the artist's best work. Profile information includes bio, location, specializations, availability status, and links to external portfolios or websites.</w:t>
      </w:r>
    </w:p>
    <w:p>
      <w:pPr>
        <w:pStyle w:val="Heading3"/>
      </w:pPr>
      <w:r>
        <w:t xml:space="preserve">Work Organization</w:t>
      </w:r>
    </w:p>
    <w:p>
      <w:pPr>
        <w:spacing w:after="120"/>
      </w:pPr>
      <w:r>
        <w:t xml:space="preserve">Artists can organize their work into collections or projects, making it easy for visitors to explore thematic bodies of work. The system supports both individual shots and multi-image project presentations with detailed descriptions and process documentation.</w:t>
      </w:r>
    </w:p>
    <w:p>
      <w:pPr>
        <w:pStyle w:val="Heading3"/>
      </w:pPr>
      <w:r>
        <w:t xml:space="preserve">Professional Information</w:t>
      </w:r>
    </w:p>
    <w:p>
      <w:pPr>
        <w:spacing w:after="360"/>
      </w:pPr>
      <w:r>
        <w:t xml:space="preserve">Profiles display professional credentials including years of experience, notable clients, awards, and specializations. Artists can indicate their availability for hire, preferred project types, and contact preferences, streamlining the client discovery process.</w:t>
      </w:r>
    </w:p>
    <w:p>
      <w:pPr>
        <w:pStyle w:val="Heading2"/>
      </w:pPr>
      <w:r>
        <w:t xml:space="preserve">2. Content Feed</w:t>
      </w:r>
    </w:p>
    <w:p>
      <w:pPr>
        <w:pStyle w:val="Heading3"/>
      </w:pPr>
      <w:r>
        <w:t xml:space="preserve">Discovery Algorithm</w:t>
      </w:r>
    </w:p>
    <w:p>
      <w:pPr>
        <w:spacing w:after="120"/>
      </w:pPr>
      <w:r>
        <w:t xml:space="preserve">The main feed employs a sophisticated algorithm that balances multiple factors including user preferences, followed artists, trending content, and content quality. The algorithm learns from user interactions to progressively refine recommendations while maintaining serendipitous discovery of new artists.</w:t>
      </w:r>
    </w:p>
    <w:p>
      <w:pPr>
        <w:pStyle w:val="Heading3"/>
      </w:pPr>
      <w:r>
        <w:t xml:space="preserve">Feed Customization</w:t>
      </w:r>
    </w:p>
    <w:p>
      <w:pPr>
        <w:spacing w:after="120"/>
      </w:pPr>
      <w:r>
        <w:t xml:space="preserve">Users can toggle between multiple feed views including Following (chronological from followed artists), Popular (trending content), Fresh (newest uploads), and For You (algorithmic recommendations). Category filters enable focusing on specific creative disciplines like illustration, UI design, branding, or photography.</w:t>
      </w:r>
    </w:p>
    <w:p>
      <w:pPr>
        <w:pStyle w:val="Heading3"/>
      </w:pPr>
      <w:r>
        <w:t xml:space="preserve">Content Presentation</w:t>
      </w:r>
    </w:p>
    <w:p>
      <w:pPr>
        <w:spacing w:after="360"/>
      </w:pPr>
      <w:r>
        <w:t xml:space="preserve">Feed items display artwork with optimal sizing and aspect ratio preservation. Each item includes the artist's name, project title, engagement metrics (likes, views, comments), and quick action buttons. Hovering or tapping reveals additional details and interaction options without navigating away from the feed.</w:t>
      </w:r>
    </w:p>
    <w:p>
      <w:pPr>
        <w:pStyle w:val="Heading2"/>
      </w:pPr>
      <w:r>
        <w:t xml:space="preserve">3. Artwork Detail View</w:t>
      </w:r>
    </w:p>
    <w:p>
      <w:pPr>
        <w:pStyle w:val="Heading3"/>
      </w:pPr>
      <w:r>
        <w:t xml:space="preserve">Image Display</w:t>
      </w:r>
    </w:p>
    <w:p>
      <w:pPr>
        <w:spacing w:after="120"/>
      </w:pPr>
      <w:r>
        <w:t xml:space="preserve">The detail view maximizes artwork visibility with a high-resolution display optimized for the content's aspect ratio. Users can zoom to examine details and view multiple images in project presentations through an integrated gallery interface. Color accuracy and image quality are paramount.</w:t>
      </w:r>
    </w:p>
    <w:p>
      <w:pPr>
        <w:pStyle w:val="Heading3"/>
      </w:pPr>
      <w:r>
        <w:t xml:space="preserve">Project Context</w:t>
      </w:r>
    </w:p>
    <w:p>
      <w:pPr>
        <w:spacing w:after="120"/>
      </w:pPr>
      <w:r>
        <w:t xml:space="preserve">Alongside the artwork, artists can provide project descriptions, process notes, tools used, and inspirations. This context helps viewers understand the creative journey and technical approach, fostering deeper appreciation and learning within the community.</w:t>
      </w:r>
    </w:p>
    <w:p>
      <w:pPr>
        <w:pStyle w:val="Heading3"/>
      </w:pPr>
      <w:r>
        <w:t xml:space="preserve">Engagement Tools</w:t>
      </w:r>
    </w:p>
    <w:p>
      <w:pPr>
        <w:spacing w:after="360"/>
      </w:pPr>
      <w:r>
        <w:t xml:space="preserve">The detail view includes prominent engagement options including liking, saving to collections, commenting, and sharing. Artists can enable or disable comments per post, and moderation tools help maintain constructive feedback environments.</w:t>
      </w:r>
    </w:p>
    <w:p>
      <w:pPr>
        <w:pStyle w:val="Heading2"/>
      </w:pPr>
      <w:r>
        <w:t xml:space="preserve">4. Search and Discovery</w:t>
      </w:r>
    </w:p>
    <w:p>
      <w:pPr>
        <w:pStyle w:val="Heading3"/>
      </w:pPr>
      <w:r>
        <w:t xml:space="preserve">Advanced Search</w:t>
      </w:r>
    </w:p>
    <w:p>
      <w:pPr>
        <w:spacing w:after="120"/>
      </w:pPr>
      <w:r>
        <w:t xml:space="preserve">The search functionality supports finding artists, projects, and content through keywords, tags, and visual similarity. Filters enable narrowing results by category, color palette, software used, project type, and artist location or availability status.</w:t>
      </w:r>
    </w:p>
    <w:p>
      <w:pPr>
        <w:pStyle w:val="Heading3"/>
      </w:pPr>
      <w:r>
        <w:t xml:space="preserve">Trending and Featured</w:t>
      </w:r>
    </w:p>
    <w:p>
      <w:pPr>
        <w:spacing w:after="120"/>
      </w:pPr>
      <w:r>
        <w:t xml:space="preserve">Dedicated sections highlight trending work, staff picks, and themed collections curated by the platform team. These features help surface exceptional work that might otherwise be missed and provide inspiration for the broader community.</w:t>
      </w:r>
    </w:p>
    <w:p>
      <w:pPr>
        <w:pStyle w:val="Heading3"/>
      </w:pPr>
      <w:r>
        <w:t xml:space="preserve">Category Browsing</w:t>
      </w:r>
    </w:p>
    <w:p>
      <w:pPr>
        <w:spacing w:after="360"/>
      </w:pPr>
      <w:r>
        <w:t xml:space="preserve">Users can explore work by creative discipline through comprehensive category pages. Each category features top contributors, trending work, and relevant resources, helping users dive deep into specific areas of creative practice.</w:t>
      </w:r>
    </w:p>
    <w:p>
      <w:pPr>
        <w:pStyle w:val="Heading2"/>
      </w:pPr>
      <w:r>
        <w:t xml:space="preserve">5. Messaging and Networking</w:t>
      </w:r>
    </w:p>
    <w:p>
      <w:pPr>
        <w:pStyle w:val="Heading3"/>
      </w:pPr>
      <w:r>
        <w:t xml:space="preserve">Direct Messaging</w:t>
      </w:r>
    </w:p>
    <w:p>
      <w:pPr>
        <w:spacing w:after="120"/>
      </w:pPr>
      <w:r>
        <w:t xml:space="preserve">Artists can communicate privately through an integrated messaging system. Features include media sharing, project file exchange, and conversation threading. Users control who can message them, with options to restrict to mutual connections or allow inquiries from potential clients.</w:t>
      </w:r>
    </w:p>
    <w:p>
      <w:pPr>
        <w:pStyle w:val="Heading3"/>
      </w:pPr>
      <w:r>
        <w:t xml:space="preserve">Professional Inquiries</w:t>
      </w:r>
    </w:p>
    <w:p>
      <w:pPr>
        <w:spacing w:after="120"/>
      </w:pPr>
      <w:r>
        <w:t xml:space="preserve">A structured inquiry system helps potential clients reach out with project opportunities. Artists receive detailed information about project scope, timeline, and budget upfront, enabling them to quickly assess fit and respond appropriately.</w:t>
      </w:r>
    </w:p>
    <w:p>
      <w:pPr>
        <w:pStyle w:val="Heading3"/>
      </w:pPr>
      <w:r>
        <w:t xml:space="preserve">Team Collaboration</w:t>
      </w:r>
    </w:p>
    <w:p>
      <w:pPr>
        <w:spacing w:after="360"/>
      </w:pPr>
      <w:r>
        <w:t xml:space="preserve">Studio accounts support team collaboration with role-based permissions, shared project management, and unified branding. Team members can be tagged in project credits, helping individual contributors build their portfolios while representing agency work.</w:t>
      </w:r>
    </w:p>
    <w:p>
      <w:r>
        <w:br w:type="page"/>
      </w:r>
    </w:p>
    <w:p>
      <w:pPr>
        <w:pStyle w:val="Heading1"/>
      </w:pPr>
      <w:r>
        <w:t xml:space="preserve">User Interface Design</w:t>
      </w:r>
    </w:p>
    <w:p>
      <w:pPr>
        <w:pStyle w:val="Heading2"/>
      </w:pPr>
      <w:r>
        <w:t xml:space="preserve">Color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8E8E8" w:val="clear"/>
            <w:tcMar>
              <w:top w:type="dxa" w:w="100"/>
              <w:left w:type="dxa" w:w="120"/>
              <w:bottom w:type="dxa" w:w="100"/>
              <w:right w:type="dxa" w:w="120"/>
            </w:tcMar>
          </w:tcPr>
          <w:p>
            <w:r>
              <w:rPr>
                <w:b/>
                <w:bCs/>
              </w:rPr>
              <w:t xml:space="preserve">Color</w:t>
            </w:r>
          </w:p>
        </w:tc>
        <w:tc>
          <w:tcPr>
            <w:tcW w:type="dxa" w:w="2340"/>
            <w:shd w:fill="E8E8E8" w:val="clear"/>
            <w:tcMar>
              <w:top w:type="dxa" w:w="100"/>
              <w:left w:type="dxa" w:w="120"/>
              <w:bottom w:type="dxa" w:w="100"/>
              <w:right w:type="dxa" w:w="120"/>
            </w:tcMar>
          </w:tcPr>
          <w:p>
            <w:r>
              <w:rPr>
                <w:b/>
                <w:bCs/>
              </w:rPr>
              <w:t xml:space="preserve">Usage</w:t>
            </w:r>
          </w:p>
        </w:tc>
        <w:tc>
          <w:tcPr>
            <w:tcW w:type="dxa" w:w="2340"/>
            <w:shd w:fill="E8E8E8" w:val="clear"/>
            <w:tcMar>
              <w:top w:type="dxa" w:w="100"/>
              <w:left w:type="dxa" w:w="120"/>
              <w:bottom w:type="dxa" w:w="100"/>
              <w:right w:type="dxa" w:w="120"/>
            </w:tcMar>
          </w:tcPr>
          <w:p>
            <w:r>
              <w:rPr>
                <w:b/>
                <w:bCs/>
              </w:rPr>
              <w:t xml:space="preserve">Hex Code</w:t>
            </w:r>
          </w:p>
        </w:tc>
        <w:tc>
          <w:tcPr>
            <w:tcW w:type="dxa" w:w="2340"/>
            <w:shd w:fill="E8E8E8" w:val="clear"/>
            <w:tcMar>
              <w:top w:type="dxa" w:w="100"/>
              <w:left w:type="dxa" w:w="120"/>
              <w:bottom w:type="dxa" w:w="100"/>
              <w:right w:type="dxa" w:w="120"/>
            </w:tcMar>
          </w:tcPr>
          <w:p>
            <w:r>
              <w:rPr>
                <w:b/>
                <w:bCs/>
              </w:rPr>
              <w:t xml:space="preserve">Notes</w:t>
            </w:r>
          </w:p>
        </w:tc>
      </w:tr>
      <w:tr>
        <w:tc>
          <w:tcPr>
            <w:tcW w:type="dxa" w:w="2340"/>
            <w:tcMar>
              <w:top w:type="dxa" w:w="100"/>
              <w:left w:type="dxa" w:w="120"/>
              <w:bottom w:type="dxa" w:w="100"/>
              <w:right w:type="dxa" w:w="120"/>
            </w:tcMar>
          </w:tcPr>
          <w:p>
            <w:r>
              <w:t xml:space="preserve">Primary</w:t>
            </w:r>
          </w:p>
        </w:tc>
        <w:tc>
          <w:tcPr>
            <w:tcW w:type="dxa" w:w="2340"/>
            <w:tcMar>
              <w:top w:type="dxa" w:w="100"/>
              <w:left w:type="dxa" w:w="120"/>
              <w:bottom w:type="dxa" w:w="100"/>
              <w:right w:type="dxa" w:w="120"/>
            </w:tcMar>
          </w:tcPr>
          <w:p>
            <w:r>
              <w:t xml:space="preserve">CTAs, links</w:t>
            </w:r>
          </w:p>
        </w:tc>
        <w:tc>
          <w:tcPr>
            <w:tcW w:type="dxa" w:w="2340"/>
            <w:tcMar>
              <w:top w:type="dxa" w:w="100"/>
              <w:left w:type="dxa" w:w="120"/>
              <w:bottom w:type="dxa" w:w="100"/>
              <w:right w:type="dxa" w:w="120"/>
            </w:tcMar>
          </w:tcPr>
          <w:p>
            <w:r>
              <w:t xml:space="preserve">#EA4C89</w:t>
            </w:r>
          </w:p>
        </w:tc>
        <w:tc>
          <w:tcPr>
            <w:tcW w:type="dxa" w:w="2340"/>
            <w:tcMar>
              <w:top w:type="dxa" w:w="100"/>
              <w:left w:type="dxa" w:w="120"/>
              <w:bottom w:type="dxa" w:w="100"/>
              <w:right w:type="dxa" w:w="120"/>
            </w:tcMar>
          </w:tcPr>
          <w:p>
            <w:r>
              <w:t xml:space="preserve">Vibrant pink</w:t>
            </w:r>
          </w:p>
        </w:tc>
      </w:tr>
      <w:tr>
        <w:tc>
          <w:tcPr>
            <w:tcW w:type="dxa" w:w="2340"/>
            <w:tcMar>
              <w:top w:type="dxa" w:w="100"/>
              <w:left w:type="dxa" w:w="120"/>
              <w:bottom w:type="dxa" w:w="100"/>
              <w:right w:type="dxa" w:w="120"/>
            </w:tcMar>
          </w:tcPr>
          <w:p>
            <w:r>
              <w:t xml:space="preserve">Background</w:t>
            </w:r>
          </w:p>
        </w:tc>
        <w:tc>
          <w:tcPr>
            <w:tcW w:type="dxa" w:w="2340"/>
            <w:tcMar>
              <w:top w:type="dxa" w:w="100"/>
              <w:left w:type="dxa" w:w="120"/>
              <w:bottom w:type="dxa" w:w="100"/>
              <w:right w:type="dxa" w:w="120"/>
            </w:tcMar>
          </w:tcPr>
          <w:p>
            <w:r>
              <w:t xml:space="preserve">Main canvas</w:t>
            </w:r>
          </w:p>
        </w:tc>
        <w:tc>
          <w:tcPr>
            <w:tcW w:type="dxa" w:w="2340"/>
            <w:tcMar>
              <w:top w:type="dxa" w:w="100"/>
              <w:left w:type="dxa" w:w="120"/>
              <w:bottom w:type="dxa" w:w="100"/>
              <w:right w:type="dxa" w:w="120"/>
            </w:tcMar>
          </w:tcPr>
          <w:p>
            <w:r>
              <w:t xml:space="preserve">#FFFFFF</w:t>
            </w:r>
          </w:p>
        </w:tc>
        <w:tc>
          <w:tcPr>
            <w:tcW w:type="dxa" w:w="2340"/>
            <w:tcMar>
              <w:top w:type="dxa" w:w="100"/>
              <w:left w:type="dxa" w:w="120"/>
              <w:bottom w:type="dxa" w:w="100"/>
              <w:right w:type="dxa" w:w="120"/>
            </w:tcMar>
          </w:tcPr>
          <w:p>
            <w:r>
              <w:t xml:space="preserve">Clean white</w:t>
            </w:r>
          </w:p>
        </w:tc>
      </w:tr>
      <w:tr>
        <w:tc>
          <w:tcPr>
            <w:tcW w:type="dxa" w:w="2340"/>
            <w:tcMar>
              <w:top w:type="dxa" w:w="100"/>
              <w:left w:type="dxa" w:w="120"/>
              <w:bottom w:type="dxa" w:w="100"/>
              <w:right w:type="dxa" w:w="120"/>
            </w:tcMar>
          </w:tcPr>
          <w:p>
            <w:r>
              <w:t xml:space="preserve">Text Primary</w:t>
            </w:r>
          </w:p>
        </w:tc>
        <w:tc>
          <w:tcPr>
            <w:tcW w:type="dxa" w:w="2340"/>
            <w:tcMar>
              <w:top w:type="dxa" w:w="100"/>
              <w:left w:type="dxa" w:w="120"/>
              <w:bottom w:type="dxa" w:w="100"/>
              <w:right w:type="dxa" w:w="120"/>
            </w:tcMar>
          </w:tcPr>
          <w:p>
            <w:r>
              <w:t xml:space="preserve">Headlines, body</w:t>
            </w:r>
          </w:p>
        </w:tc>
        <w:tc>
          <w:tcPr>
            <w:tcW w:type="dxa" w:w="2340"/>
            <w:tcMar>
              <w:top w:type="dxa" w:w="100"/>
              <w:left w:type="dxa" w:w="120"/>
              <w:bottom w:type="dxa" w:w="100"/>
              <w:right w:type="dxa" w:w="120"/>
            </w:tcMar>
          </w:tcPr>
          <w:p>
            <w:r>
              <w:t xml:space="preserve">#1A1A1A</w:t>
            </w:r>
          </w:p>
        </w:tc>
        <w:tc>
          <w:tcPr>
            <w:tcW w:type="dxa" w:w="2340"/>
            <w:tcMar>
              <w:top w:type="dxa" w:w="100"/>
              <w:left w:type="dxa" w:w="120"/>
              <w:bottom w:type="dxa" w:w="100"/>
              <w:right w:type="dxa" w:w="120"/>
            </w:tcMar>
          </w:tcPr>
          <w:p>
            <w:r>
              <w:t xml:space="preserve">Near black</w:t>
            </w:r>
          </w:p>
        </w:tc>
      </w:tr>
      <w:tr>
        <w:tc>
          <w:tcPr>
            <w:tcW w:type="dxa" w:w="2340"/>
            <w:tcMar>
              <w:top w:type="dxa" w:w="100"/>
              <w:left w:type="dxa" w:w="120"/>
              <w:bottom w:type="dxa" w:w="100"/>
              <w:right w:type="dxa" w:w="120"/>
            </w:tcMar>
          </w:tcPr>
          <w:p>
            <w:r>
              <w:t xml:space="preserve">Text Secondary</w:t>
            </w:r>
          </w:p>
        </w:tc>
        <w:tc>
          <w:tcPr>
            <w:tcW w:type="dxa" w:w="2340"/>
            <w:tcMar>
              <w:top w:type="dxa" w:w="100"/>
              <w:left w:type="dxa" w:w="120"/>
              <w:bottom w:type="dxa" w:w="100"/>
              <w:right w:type="dxa" w:w="120"/>
            </w:tcMar>
          </w:tcPr>
          <w:p>
            <w:r>
              <w:t xml:space="preserve">Meta, captions</w:t>
            </w:r>
          </w:p>
        </w:tc>
        <w:tc>
          <w:tcPr>
            <w:tcW w:type="dxa" w:w="2340"/>
            <w:tcMar>
              <w:top w:type="dxa" w:w="100"/>
              <w:left w:type="dxa" w:w="120"/>
              <w:bottom w:type="dxa" w:w="100"/>
              <w:right w:type="dxa" w:w="120"/>
            </w:tcMar>
          </w:tcPr>
          <w:p>
            <w:r>
              <w:t xml:space="preserve">#6E6E6E</w:t>
            </w:r>
          </w:p>
        </w:tc>
        <w:tc>
          <w:tcPr>
            <w:tcW w:type="dxa" w:w="2340"/>
            <w:tcMar>
              <w:top w:type="dxa" w:w="100"/>
              <w:left w:type="dxa" w:w="120"/>
              <w:bottom w:type="dxa" w:w="100"/>
              <w:right w:type="dxa" w:w="120"/>
            </w:tcMar>
          </w:tcPr>
          <w:p>
            <w:r>
              <w:t xml:space="preserve">Medium gray</w:t>
            </w:r>
          </w:p>
        </w:tc>
      </w:tr>
      <w:tr>
        <w:tc>
          <w:tcPr>
            <w:tcW w:type="dxa" w:w="2340"/>
            <w:tcMar>
              <w:top w:type="dxa" w:w="100"/>
              <w:left w:type="dxa" w:w="120"/>
              <w:bottom w:type="dxa" w:w="100"/>
              <w:right w:type="dxa" w:w="120"/>
            </w:tcMar>
          </w:tcPr>
          <w:p>
            <w:r>
              <w:t xml:space="preserve">Borders</w:t>
            </w:r>
          </w:p>
        </w:tc>
        <w:tc>
          <w:tcPr>
            <w:tcW w:type="dxa" w:w="2340"/>
            <w:tcMar>
              <w:top w:type="dxa" w:w="100"/>
              <w:left w:type="dxa" w:w="120"/>
              <w:bottom w:type="dxa" w:w="100"/>
              <w:right w:type="dxa" w:w="120"/>
            </w:tcMar>
          </w:tcPr>
          <w:p>
            <w:r>
              <w:t xml:space="preserve">Dividers, cards</w:t>
            </w:r>
          </w:p>
        </w:tc>
        <w:tc>
          <w:tcPr>
            <w:tcW w:type="dxa" w:w="2340"/>
            <w:tcMar>
              <w:top w:type="dxa" w:w="100"/>
              <w:left w:type="dxa" w:w="120"/>
              <w:bottom w:type="dxa" w:w="100"/>
              <w:right w:type="dxa" w:w="120"/>
            </w:tcMar>
          </w:tcPr>
          <w:p>
            <w:r>
              <w:t xml:space="preserve">#E8E8E8</w:t>
            </w:r>
          </w:p>
        </w:tc>
        <w:tc>
          <w:tcPr>
            <w:tcW w:type="dxa" w:w="2340"/>
            <w:tcMar>
              <w:top w:type="dxa" w:w="100"/>
              <w:left w:type="dxa" w:w="120"/>
              <w:bottom w:type="dxa" w:w="100"/>
              <w:right w:type="dxa" w:w="120"/>
            </w:tcMar>
          </w:tcPr>
          <w:p>
            <w:r>
              <w:t xml:space="preserve">Light gray</w:t>
            </w:r>
          </w:p>
        </w:tc>
      </w:tr>
    </w:tbl>
    <w:p>
      <w:pPr>
        <w:spacing w:before="240" w:after="360"/>
      </w:pPr>
      <w:r>
        <w:t xml:space="preserve">The color palette emphasizes neutrals to keep focus on user-generated artwork. The primary brand color is used sparingly for calls-to-action and interactive elements, ensuring it draws attention without overwhelming the visual content.</w:t>
      </w:r>
    </w:p>
    <w:p>
      <w:pPr>
        <w:pStyle w:val="Heading2"/>
      </w:pPr>
      <w:r>
        <w:t xml:space="preserve">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8E8E8" w:val="clear"/>
            <w:tcMar>
              <w:top w:type="dxa" w:w="100"/>
              <w:left w:type="dxa" w:w="120"/>
              <w:bottom w:type="dxa" w:w="100"/>
              <w:right w:type="dxa" w:w="120"/>
            </w:tcMar>
          </w:tcPr>
          <w:p>
            <w:r>
              <w:rPr>
                <w:b/>
                <w:bCs/>
              </w:rPr>
              <w:t xml:space="preserve">Element</w:t>
            </w:r>
          </w:p>
        </w:tc>
        <w:tc>
          <w:tcPr>
            <w:tcW w:type="dxa" w:w="2340"/>
            <w:shd w:fill="E8E8E8" w:val="clear"/>
            <w:tcMar>
              <w:top w:type="dxa" w:w="100"/>
              <w:left w:type="dxa" w:w="120"/>
              <w:bottom w:type="dxa" w:w="100"/>
              <w:right w:type="dxa" w:w="120"/>
            </w:tcMar>
          </w:tcPr>
          <w:p>
            <w:r>
              <w:rPr>
                <w:b/>
                <w:bCs/>
              </w:rPr>
              <w:t xml:space="preserve">Typeface</w:t>
            </w:r>
          </w:p>
        </w:tc>
        <w:tc>
          <w:tcPr>
            <w:tcW w:type="dxa" w:w="2340"/>
            <w:shd w:fill="E8E8E8" w:val="clear"/>
            <w:tcMar>
              <w:top w:type="dxa" w:w="100"/>
              <w:left w:type="dxa" w:w="120"/>
              <w:bottom w:type="dxa" w:w="100"/>
              <w:right w:type="dxa" w:w="120"/>
            </w:tcMar>
          </w:tcPr>
          <w:p>
            <w:r>
              <w:rPr>
                <w:b/>
                <w:bCs/>
              </w:rPr>
              <w:t xml:space="preserve">Size/Weight</w:t>
            </w:r>
          </w:p>
        </w:tc>
        <w:tc>
          <w:tcPr>
            <w:tcW w:type="dxa" w:w="2340"/>
            <w:shd w:fill="E8E8E8" w:val="clear"/>
            <w:tcMar>
              <w:top w:type="dxa" w:w="100"/>
              <w:left w:type="dxa" w:w="120"/>
              <w:bottom w:type="dxa" w:w="100"/>
              <w:right w:type="dxa" w:w="120"/>
            </w:tcMar>
          </w:tcPr>
          <w:p>
            <w:r>
              <w:rPr>
                <w:b/>
                <w:bCs/>
              </w:rPr>
              <w:t xml:space="preserve">Usage</w:t>
            </w:r>
          </w:p>
        </w:tc>
      </w:tr>
      <w:tr>
        <w:tc>
          <w:tcPr>
            <w:tcW w:type="dxa" w:w="2340"/>
            <w:tcMar>
              <w:top w:type="dxa" w:w="100"/>
              <w:left w:type="dxa" w:w="120"/>
              <w:bottom w:type="dxa" w:w="100"/>
              <w:right w:type="dxa" w:w="120"/>
            </w:tcMar>
          </w:tcPr>
          <w:p>
            <w:r>
              <w:t xml:space="preserve">H1</w:t>
            </w:r>
          </w:p>
        </w:tc>
        <w:tc>
          <w:tcPr>
            <w:tcW w:type="dxa" w:w="2340"/>
            <w:tcMar>
              <w:top w:type="dxa" w:w="100"/>
              <w:left w:type="dxa" w:w="120"/>
              <w:bottom w:type="dxa" w:w="100"/>
              <w:right w:type="dxa" w:w="120"/>
            </w:tcMar>
          </w:tcPr>
          <w:p>
            <w:r>
              <w:t xml:space="preserve">Inter</w:t>
            </w:r>
          </w:p>
        </w:tc>
        <w:tc>
          <w:tcPr>
            <w:tcW w:type="dxa" w:w="2340"/>
            <w:tcMar>
              <w:top w:type="dxa" w:w="100"/>
              <w:left w:type="dxa" w:w="120"/>
              <w:bottom w:type="dxa" w:w="100"/>
              <w:right w:type="dxa" w:w="120"/>
            </w:tcMar>
          </w:tcPr>
          <w:p>
            <w:r>
              <w:t xml:space="preserve">32px / Bold</w:t>
            </w:r>
          </w:p>
        </w:tc>
        <w:tc>
          <w:tcPr>
            <w:tcW w:type="dxa" w:w="2340"/>
            <w:tcMar>
              <w:top w:type="dxa" w:w="100"/>
              <w:left w:type="dxa" w:w="120"/>
              <w:bottom w:type="dxa" w:w="100"/>
              <w:right w:type="dxa" w:w="120"/>
            </w:tcMar>
          </w:tcPr>
          <w:p>
            <w:r>
              <w:t xml:space="preserve">Page titles</w:t>
            </w:r>
          </w:p>
        </w:tc>
      </w:tr>
      <w:tr>
        <w:tc>
          <w:tcPr>
            <w:tcW w:type="dxa" w:w="2340"/>
            <w:tcMar>
              <w:top w:type="dxa" w:w="100"/>
              <w:left w:type="dxa" w:w="120"/>
              <w:bottom w:type="dxa" w:w="100"/>
              <w:right w:type="dxa" w:w="120"/>
            </w:tcMar>
          </w:tcPr>
          <w:p>
            <w:r>
              <w:t xml:space="preserve">H2</w:t>
            </w:r>
          </w:p>
        </w:tc>
        <w:tc>
          <w:tcPr>
            <w:tcW w:type="dxa" w:w="2340"/>
            <w:tcMar>
              <w:top w:type="dxa" w:w="100"/>
              <w:left w:type="dxa" w:w="120"/>
              <w:bottom w:type="dxa" w:w="100"/>
              <w:right w:type="dxa" w:w="120"/>
            </w:tcMar>
          </w:tcPr>
          <w:p>
            <w:r>
              <w:t xml:space="preserve">Inter</w:t>
            </w:r>
          </w:p>
        </w:tc>
        <w:tc>
          <w:tcPr>
            <w:tcW w:type="dxa" w:w="2340"/>
            <w:tcMar>
              <w:top w:type="dxa" w:w="100"/>
              <w:left w:type="dxa" w:w="120"/>
              <w:bottom w:type="dxa" w:w="100"/>
              <w:right w:type="dxa" w:w="120"/>
            </w:tcMar>
          </w:tcPr>
          <w:p>
            <w:r>
              <w:t xml:space="preserve">24px / Bold</w:t>
            </w:r>
          </w:p>
        </w:tc>
        <w:tc>
          <w:tcPr>
            <w:tcW w:type="dxa" w:w="2340"/>
            <w:tcMar>
              <w:top w:type="dxa" w:w="100"/>
              <w:left w:type="dxa" w:w="120"/>
              <w:bottom w:type="dxa" w:w="100"/>
              <w:right w:type="dxa" w:w="120"/>
            </w:tcMar>
          </w:tcPr>
          <w:p>
            <w:r>
              <w:t xml:space="preserve">Section headers</w:t>
            </w:r>
          </w:p>
        </w:tc>
      </w:tr>
      <w:tr>
        <w:tc>
          <w:tcPr>
            <w:tcW w:type="dxa" w:w="2340"/>
            <w:tcMar>
              <w:top w:type="dxa" w:w="100"/>
              <w:left w:type="dxa" w:w="120"/>
              <w:bottom w:type="dxa" w:w="100"/>
              <w:right w:type="dxa" w:w="120"/>
            </w:tcMar>
          </w:tcPr>
          <w:p>
            <w:r>
              <w:t xml:space="preserve">H3</w:t>
            </w:r>
          </w:p>
        </w:tc>
        <w:tc>
          <w:tcPr>
            <w:tcW w:type="dxa" w:w="2340"/>
            <w:tcMar>
              <w:top w:type="dxa" w:w="100"/>
              <w:left w:type="dxa" w:w="120"/>
              <w:bottom w:type="dxa" w:w="100"/>
              <w:right w:type="dxa" w:w="120"/>
            </w:tcMar>
          </w:tcPr>
          <w:p>
            <w:r>
              <w:t xml:space="preserve">Inter</w:t>
            </w:r>
          </w:p>
        </w:tc>
        <w:tc>
          <w:tcPr>
            <w:tcW w:type="dxa" w:w="2340"/>
            <w:tcMar>
              <w:top w:type="dxa" w:w="100"/>
              <w:left w:type="dxa" w:w="120"/>
              <w:bottom w:type="dxa" w:w="100"/>
              <w:right w:type="dxa" w:w="120"/>
            </w:tcMar>
          </w:tcPr>
          <w:p>
            <w:r>
              <w:t xml:space="preserve">18px / Semibold</w:t>
            </w:r>
          </w:p>
        </w:tc>
        <w:tc>
          <w:tcPr>
            <w:tcW w:type="dxa" w:w="2340"/>
            <w:tcMar>
              <w:top w:type="dxa" w:w="100"/>
              <w:left w:type="dxa" w:w="120"/>
              <w:bottom w:type="dxa" w:w="100"/>
              <w:right w:type="dxa" w:w="120"/>
            </w:tcMar>
          </w:tcPr>
          <w:p>
            <w:r>
              <w:t xml:space="preserve">Card titles</w:t>
            </w:r>
          </w:p>
        </w:tc>
      </w:tr>
      <w:tr>
        <w:tc>
          <w:tcPr>
            <w:tcW w:type="dxa" w:w="2340"/>
            <w:tcMar>
              <w:top w:type="dxa" w:w="100"/>
              <w:left w:type="dxa" w:w="120"/>
              <w:bottom w:type="dxa" w:w="100"/>
              <w:right w:type="dxa" w:w="120"/>
            </w:tcMar>
          </w:tcPr>
          <w:p>
            <w:r>
              <w:t xml:space="preserve">Body</w:t>
            </w:r>
          </w:p>
        </w:tc>
        <w:tc>
          <w:tcPr>
            <w:tcW w:type="dxa" w:w="2340"/>
            <w:tcMar>
              <w:top w:type="dxa" w:w="100"/>
              <w:left w:type="dxa" w:w="120"/>
              <w:bottom w:type="dxa" w:w="100"/>
              <w:right w:type="dxa" w:w="120"/>
            </w:tcMar>
          </w:tcPr>
          <w:p>
            <w:r>
              <w:t xml:space="preserve">Inter</w:t>
            </w:r>
          </w:p>
        </w:tc>
        <w:tc>
          <w:tcPr>
            <w:tcW w:type="dxa" w:w="2340"/>
            <w:tcMar>
              <w:top w:type="dxa" w:w="100"/>
              <w:left w:type="dxa" w:w="120"/>
              <w:bottom w:type="dxa" w:w="100"/>
              <w:right w:type="dxa" w:w="120"/>
            </w:tcMar>
          </w:tcPr>
          <w:p>
            <w:r>
              <w:t xml:space="preserve">16px / Regular</w:t>
            </w:r>
          </w:p>
        </w:tc>
        <w:tc>
          <w:tcPr>
            <w:tcW w:type="dxa" w:w="2340"/>
            <w:tcMar>
              <w:top w:type="dxa" w:w="100"/>
              <w:left w:type="dxa" w:w="120"/>
              <w:bottom w:type="dxa" w:w="100"/>
              <w:right w:type="dxa" w:w="120"/>
            </w:tcMar>
          </w:tcPr>
          <w:p>
            <w:r>
              <w:t xml:space="preserve">Body text</w:t>
            </w:r>
          </w:p>
        </w:tc>
      </w:tr>
      <w:tr>
        <w:tc>
          <w:tcPr>
            <w:tcW w:type="dxa" w:w="2340"/>
            <w:tcMar>
              <w:top w:type="dxa" w:w="100"/>
              <w:left w:type="dxa" w:w="120"/>
              <w:bottom w:type="dxa" w:w="100"/>
              <w:right w:type="dxa" w:w="120"/>
            </w:tcMar>
          </w:tcPr>
          <w:p>
            <w:r>
              <w:t xml:space="preserve">Caption</w:t>
            </w:r>
          </w:p>
        </w:tc>
        <w:tc>
          <w:tcPr>
            <w:tcW w:type="dxa" w:w="2340"/>
            <w:tcMar>
              <w:top w:type="dxa" w:w="100"/>
              <w:left w:type="dxa" w:w="120"/>
              <w:bottom w:type="dxa" w:w="100"/>
              <w:right w:type="dxa" w:w="120"/>
            </w:tcMar>
          </w:tcPr>
          <w:p>
            <w:r>
              <w:t xml:space="preserve">Inter</w:t>
            </w:r>
          </w:p>
        </w:tc>
        <w:tc>
          <w:tcPr>
            <w:tcW w:type="dxa" w:w="2340"/>
            <w:tcMar>
              <w:top w:type="dxa" w:w="100"/>
              <w:left w:type="dxa" w:w="120"/>
              <w:bottom w:type="dxa" w:w="100"/>
              <w:right w:type="dxa" w:w="120"/>
            </w:tcMar>
          </w:tcPr>
          <w:p>
            <w:r>
              <w:t xml:space="preserve">14px / Regular</w:t>
            </w:r>
          </w:p>
        </w:tc>
        <w:tc>
          <w:tcPr>
            <w:tcW w:type="dxa" w:w="2340"/>
            <w:tcMar>
              <w:top w:type="dxa" w:w="100"/>
              <w:left w:type="dxa" w:w="120"/>
              <w:bottom w:type="dxa" w:w="100"/>
              <w:right w:type="dxa" w:w="120"/>
            </w:tcMar>
          </w:tcPr>
          <w:p>
            <w:r>
              <w:t xml:space="preserve">Metadata, labels</w:t>
            </w:r>
          </w:p>
        </w:tc>
      </w:tr>
    </w:tbl>
    <w:p>
      <w:pPr>
        <w:spacing w:before="240" w:after="360"/>
      </w:pPr>
      <w:r>
        <w:t xml:space="preserve">Inter was chosen as the primary typeface for its excellent readability at all sizes, comprehensive character set, and modern geometric aesthetic. The font's large x-height and open apertures ensure legibility on screens while maintaining a professional appearance.</w:t>
      </w:r>
    </w:p>
    <w:p>
      <w:pPr>
        <w:pStyle w:val="Heading2"/>
      </w:pPr>
      <w:r>
        <w:t xml:space="preserve">Spacing and Layout</w:t>
      </w:r>
    </w:p>
    <w:p>
      <w:pPr>
        <w:spacing w:after="180"/>
      </w:pPr>
      <w:r>
        <w:t xml:space="preserve">The design employs an 8-point grid system for consistent spacing and alignment. This creates a harmonious rhythm throughout the interface while providing flexibility for various content types. Key spacing values include 8px for tight spacing, 16px for default spacing, 24px for comfortable separation, and 32px for major section breaks.</w:t>
      </w:r>
    </w:p>
    <w:p>
      <w:pPr>
        <w:spacing w:after="360"/>
      </w:pPr>
      <w:r>
        <w:t xml:space="preserve">Layouts use generous whitespace to avoid visual clutter and keep attention on the artwork. Content is organized in clear hierarchies with appropriate grouping and separation to guide the eye naturally through the interface.</w:t>
      </w:r>
    </w:p>
    <w:p>
      <w:pPr>
        <w:pStyle w:val="Heading2"/>
      </w:pPr>
      <w:r>
        <w:t xml:space="preserve">Iconography</w:t>
      </w:r>
    </w:p>
    <w:p>
      <w:pPr>
        <w:spacing w:after="180"/>
      </w:pPr>
      <w:r>
        <w:t xml:space="preserve">Icons follow a consistent visual style with a 24x24 pixel base grid. The icon set uses simple, geometric forms that are immediately recognizable at small sizes. Line weight is consistent at 2px, and all icons use rounded corners to match the overall interface aesthetic.</w:t>
      </w:r>
    </w:p>
    <w:p>
      <w:pPr>
        <w:spacing w:after="360"/>
      </w:pPr>
      <w:r>
        <w:t xml:space="preserve">Common actions like liking, commenting, sharing, and saving use universally understood symbols to minimize cognitive load. Icon colors follow the established color system, defaulting to the secondary text color with the primary color for active states.</w:t>
      </w:r>
    </w:p>
    <w:p>
      <w:r>
        <w:br w:type="page"/>
      </w:r>
    </w:p>
    <w:p>
      <w:pPr>
        <w:pStyle w:val="Heading1"/>
      </w:pPr>
      <w:r>
        <w:t xml:space="preserve">Interaction Patterns</w:t>
      </w:r>
    </w:p>
    <w:p>
      <w:pPr>
        <w:pStyle w:val="Heading2"/>
      </w:pPr>
      <w:r>
        <w:t xml:space="preserve">Navigation Model</w:t>
      </w:r>
    </w:p>
    <w:p>
      <w:pPr>
        <w:spacing w:after="180"/>
      </w:pPr>
      <w:r>
        <w:t xml:space="preserve">Primary navigation uses a persistent sidebar on desktop and a bottom tab bar on mobile, ensuring key sections are always accessible. The main navigation includes Feed, Discover, Messages, Notifications, and Profile. Secondary navigation appears contextually within each section as needed.</w:t>
      </w:r>
    </w:p>
    <w:p>
      <w:pPr>
        <w:pStyle w:val="Heading2"/>
      </w:pPr>
      <w:r>
        <w:t xml:space="preserve">Microinteractions</w:t>
      </w:r>
    </w:p>
    <w:p>
      <w:pPr>
        <w:spacing w:after="180"/>
      </w:pPr>
      <w:r>
        <w:t xml:space="preserve">Thoughtful microinteractions provide feedback and delight without distracting from core tasks. The like button features a subtle animation when activated. Hover states change cursor and add subtle highlights to interactive elements. Loading states use skeleton screens that match the expected content layout.</w:t>
      </w:r>
    </w:p>
    <w:p>
      <w:pPr>
        <w:pStyle w:val="Heading2"/>
      </w:pPr>
      <w:r>
        <w:t xml:space="preserve">Responsive Behavior</w:t>
      </w:r>
    </w:p>
    <w:p>
      <w:pPr>
        <w:spacing w:after="180"/>
      </w:pPr>
      <w:r>
        <w:t xml:space="preserve">The interface adapts seamlessly across device sizes. On mobile, the layout prioritizes single-column scrolling with optimized touch targets. Tablet views introduce a two-column gallery layout where appropriate. Desktop takes advantage of larger screens with sidebar navigation and multi-column content displays.</w:t>
      </w:r>
    </w:p>
    <w:p>
      <w:pPr>
        <w:pStyle w:val="Heading2"/>
      </w:pPr>
      <w:r>
        <w:t xml:space="preserve">Gesture Support</w:t>
      </w:r>
    </w:p>
    <w:p>
      <w:pPr>
        <w:spacing w:after="360"/>
      </w:pPr>
      <w:r>
        <w:t xml:space="preserve">Touch interfaces support common gestures including swipe for navigation, pinch to zoom on images, and pull to refresh on feeds. Gestures complement rather than replace tap-based navigation, ensuring accessibility for all users regardless of their familiarity with gesture-based interaction.</w:t>
      </w:r>
    </w:p>
    <w:p>
      <w:r>
        <w:br w:type="page"/>
      </w:r>
    </w:p>
    <w:p>
      <w:pPr>
        <w:pStyle w:val="Heading1"/>
      </w:pPr>
      <w:r>
        <w:t xml:space="preserve">Technical Specifications</w:t>
      </w:r>
    </w:p>
    <w:p>
      <w:pPr>
        <w:pStyle w:val="Heading2"/>
      </w:pPr>
      <w:r>
        <w:t xml:space="preserve">Image Handling</w:t>
      </w:r>
    </w:p>
    <w:p>
      <w:pPr>
        <w:pStyle w:val="Heading3"/>
      </w:pPr>
      <w:r>
        <w:t xml:space="preserve">Upload Requirements</w:t>
      </w:r>
    </w:p>
    <w:p>
      <w:pPr>
        <w:spacing w:after="120"/>
      </w:pPr>
      <w:r>
        <w:t xml:space="preserve">The platform accepts JPEG, PNG, GIF, and WebP formats with a maximum file size of 15MB per image. Recommended minimum dimensions are 1600x1200 pixels for optimal display across devices. The system preserves color profiles and metadata where appropriate to maintain image fidelity.</w:t>
      </w:r>
    </w:p>
    <w:p>
      <w:pPr>
        <w:pStyle w:val="Heading3"/>
      </w:pPr>
      <w:r>
        <w:t xml:space="preserve">Display Optimization</w:t>
      </w:r>
    </w:p>
    <w:p>
      <w:pPr>
        <w:spacing w:after="120"/>
      </w:pPr>
      <w:r>
        <w:t xml:space="preserve">Images are automatically processed to generate multiple sizes for responsive delivery. The system creates thumbnails, feed-sized versions, and high-resolution variants, serving the appropriate version based on device and viewport size. WebP format is used where supported for optimal file sizes without quality loss.</w:t>
      </w:r>
    </w:p>
    <w:p>
      <w:pPr>
        <w:pStyle w:val="Heading3"/>
      </w:pPr>
      <w:r>
        <w:t xml:space="preserve">Color Management</w:t>
      </w:r>
    </w:p>
    <w:p>
      <w:pPr>
        <w:spacing w:after="360"/>
      </w:pPr>
      <w:r>
        <w:t xml:space="preserve">The platform respects embedded color profiles to ensure accurate color reproduction. sRGB is used as the default color space for web display, with support for Display P3 on capable devices. Artists working in wider gamuts receive appropriate warnings about potential color shifts on standard displays.</w:t>
      </w:r>
    </w:p>
    <w:p>
      <w:pPr>
        <w:pStyle w:val="Heading2"/>
      </w:pPr>
      <w:r>
        <w:t xml:space="preserve">Performance Targets</w:t>
      </w:r>
    </w:p>
    <w:p>
      <w:pPr>
        <w:pStyle w:val="ListParagraph"/>
        <w:numPr>
          <w:ilvl w:val="0"/>
          <w:numId w:val="2"/>
        </w:numPr>
      </w:pPr>
      <w:r>
        <w:t xml:space="preserve">Feed loading: Under 2 seconds on average connection speeds</w:t>
      </w:r>
    </w:p>
    <w:p>
      <w:pPr>
        <w:pStyle w:val="ListParagraph"/>
        <w:numPr>
          <w:ilvl w:val="0"/>
          <w:numId w:val="2"/>
        </w:numPr>
      </w:pPr>
      <w:r>
        <w:t xml:space="preserve">Image display: Progressive loading with low-quality image placeholders</w:t>
      </w:r>
    </w:p>
    <w:p>
      <w:pPr>
        <w:pStyle w:val="ListParagraph"/>
        <w:numPr>
          <w:ilvl w:val="0"/>
          <w:numId w:val="2"/>
        </w:numPr>
      </w:pPr>
      <w:r>
        <w:t xml:space="preserve">Interaction response: Under 100ms for all user actions</w:t>
      </w:r>
    </w:p>
    <w:p>
      <w:pPr>
        <w:pStyle w:val="ListParagraph"/>
        <w:numPr>
          <w:ilvl w:val="0"/>
          <w:numId w:val="2"/>
        </w:numPr>
      </w:pPr>
      <w:r>
        <w:t xml:space="preserve">Search results: Under 500ms for keyword queries</w:t>
      </w:r>
    </w:p>
    <w:p>
      <w:pPr>
        <w:pStyle w:val="ListParagraph"/>
        <w:numPr>
          <w:ilvl w:val="0"/>
          <w:numId w:val="2"/>
        </w:numPr>
        <w:spacing w:after="360"/>
      </w:pPr>
      <w:r>
        <w:t xml:space="preserve">Lazy loading: Images load as user scrolls, prioritizing visible content</w:t>
      </w:r>
    </w:p>
    <w:p>
      <w:pPr>
        <w:pStyle w:val="Heading2"/>
      </w:pPr>
      <w:r>
        <w:t xml:space="preserve">Accessibility Standards</w:t>
      </w:r>
    </w:p>
    <w:p>
      <w:pPr>
        <w:spacing w:after="180"/>
      </w:pPr>
      <w:r>
        <w:t xml:space="preserve">The platform conforms to WCAG 2.1 Level AA standards. All interactive elements meet minimum size requirements of 44x44 pixels. Color contrast ratios meet or exceed 4.5:1 for normal text and 3:1 for large text. All images include alt text, and the interface is fully navigable via keyboard.</w:t>
      </w:r>
    </w:p>
    <w:p>
      <w:pPr>
        <w:spacing w:after="360"/>
      </w:pPr>
      <w:r>
        <w:t xml:space="preserve">Screen reader support includes proper semantic HTML, ARIA labels where necessary, and logical focus order. Dynamic content updates are announced appropriately. Users can customize font sizes and enable high contrast modes without breaking layouts.</w:t>
      </w:r>
    </w:p>
    <w:p>
      <w:r>
        <w:br w:type="page"/>
      </w:r>
    </w:p>
    <w:p>
      <w:pPr>
        <w:pStyle w:val="Heading1"/>
      </w:pPr>
      <w:r>
        <w:t xml:space="preserve">Content Guidelines and Moderation</w:t>
      </w:r>
    </w:p>
    <w:p>
      <w:pPr>
        <w:pStyle w:val="Heading2"/>
      </w:pPr>
      <w:r>
        <w:t xml:space="preserve">Community Standards</w:t>
      </w:r>
    </w:p>
    <w:p>
      <w:pPr>
        <w:spacing w:after="180"/>
      </w:pPr>
      <w:r>
        <w:t xml:space="preserve">The platform maintains clear community guidelines that balance creative freedom with inclusive community values. Content must be original work or properly attributed, respect intellectual property rights, and avoid harassment, hate speech, or graphic violence. Artistic nudity is permitted with appropriate content warnings.</w:t>
      </w:r>
    </w:p>
    <w:p>
      <w:pPr>
        <w:pStyle w:val="Heading2"/>
      </w:pPr>
      <w:r>
        <w:t xml:space="preserve">Reporting and Review</w:t>
      </w:r>
    </w:p>
    <w:p>
      <w:pPr>
        <w:spacing w:after="180"/>
      </w:pPr>
      <w:r>
        <w:t xml:space="preserve">Users can report content that violates community guidelines through a simple reporting interface. Reports are reviewed by human moderators who consider context and artistic merit. The moderation team represents diverse backgrounds to ensure fair and culturally aware decisions.</w:t>
      </w:r>
    </w:p>
    <w:p>
      <w:pPr>
        <w:pStyle w:val="Heading2"/>
      </w:pPr>
      <w:r>
        <w:t xml:space="preserve">Copyright Protection</w:t>
      </w:r>
    </w:p>
    <w:p>
      <w:pPr>
        <w:spacing w:after="360"/>
      </w:pPr>
      <w:r>
        <w:t xml:space="preserve">The platform implements a digital watermarking system that helps protect artist work from unauthorized use. Reverse image search integration helps identify when work is used elsewhere on the web. A streamlined DMCA process enables quick action on legitimate copyright claims while protecting against false claims.</w:t>
      </w:r>
    </w:p>
    <w:p>
      <w:r>
        <w:br w:type="page"/>
      </w:r>
    </w:p>
    <w:p>
      <w:pPr>
        <w:pStyle w:val="Heading1"/>
      </w:pPr>
      <w:r>
        <w:t xml:space="preserve">Monetization and Business Model</w:t>
      </w:r>
    </w:p>
    <w:p>
      <w:pPr>
        <w:pStyle w:val="Heading2"/>
      </w:pPr>
      <w:r>
        <w:t xml:space="preserve">Free Tier</w:t>
      </w:r>
    </w:p>
    <w:p>
      <w:pPr>
        <w:spacing w:after="180"/>
      </w:pPr>
      <w:r>
        <w:t xml:space="preserve">Basic membership provides full access to core platform features including unlimited uploads, feed browsing, profile creation, messaging, and community participation. Free members see occasional promoted content and have standard support access. This tier serves the majority of the community while providing a clear upgrade path.</w:t>
      </w:r>
    </w:p>
    <w:p>
      <w:pPr>
        <w:pStyle w:val="Heading2"/>
      </w:pPr>
      <w:r>
        <w:t xml:space="preserve">Pro Membership</w:t>
      </w:r>
    </w:p>
    <w:p>
      <w:pPr>
        <w:spacing w:after="120"/>
      </w:pPr>
      <w:r>
        <w:t xml:space="preserve">Pro membership offers enhanced features for serious professionals at a monthly or annual subscription. Benefits include advanced analytics showing who viewed work and where traffic originates, higher upload limits, portfolio customization options, priority customer support, and removal of all promotional content.</w:t>
      </w:r>
    </w:p>
    <w:p>
      <w:pPr>
        <w:spacing w:after="360"/>
      </w:pPr>
      <w:r>
        <w:t xml:space="preserve">Pro members also receive boosted visibility in discovery algorithms, team collaboration tools for agencies, and early access to new features. The Pro tier is priced competitively to provide clear value while remaining accessible to working creatives.</w:t>
      </w:r>
    </w:p>
    <w:p>
      <w:pPr>
        <w:pStyle w:val="Heading2"/>
      </w:pPr>
      <w:r>
        <w:t xml:space="preserve">Job Marketplace</w:t>
      </w:r>
    </w:p>
    <w:p>
      <w:pPr>
        <w:spacing w:after="180"/>
      </w:pPr>
      <w:r>
        <w:t xml:space="preserve">The platform facilitates freelance opportunities through an integrated job board where clients post projects and artists can respond with proposals. The platform takes a commission on completed projects, providing revenue while connecting artists with work opportunities. Built-in escrow and milestone payment features protect both parties.</w:t>
      </w:r>
    </w:p>
    <w:p>
      <w:pPr>
        <w:pStyle w:val="Heading2"/>
      </w:pPr>
      <w:r>
        <w:t xml:space="preserve">Premium Features for Businesses</w:t>
      </w:r>
    </w:p>
    <w:p>
      <w:pPr>
        <w:spacing w:after="360"/>
      </w:pPr>
      <w:r>
        <w:t xml:space="preserve">Companies and agencies can access premium recruiting tools including advanced search filters, talent pools, and direct outreach capabilities. Subscription tiers provide varying levels of monthly contacts and access to detailed talent profiles. This B2B offering generates revenue while helping artists find employment opportunities.</w:t>
      </w:r>
    </w:p>
    <w:p>
      <w:r>
        <w:br w:type="page"/>
      </w:r>
    </w:p>
    <w:p>
      <w:pPr>
        <w:pStyle w:val="Heading1"/>
      </w:pPr>
      <w:r>
        <w:t xml:space="preserve">Growth and Engagement Strategy</w:t>
      </w:r>
    </w:p>
    <w:p>
      <w:pPr>
        <w:pStyle w:val="Heading2"/>
      </w:pPr>
      <w:r>
        <w:t xml:space="preserve">Acquisition Channels</w:t>
      </w:r>
    </w:p>
    <w:p>
      <w:pPr>
        <w:pStyle w:val="Heading3"/>
      </w:pPr>
      <w:r>
        <w:t xml:space="preserve">Invite System</w:t>
      </w:r>
    </w:p>
    <w:p>
      <w:pPr>
        <w:spacing w:after="120"/>
      </w:pPr>
      <w:r>
        <w:t xml:space="preserve">Early growth leverages an invite-only system that creates exclusivity and ensures quality. Each member receives a limited number of invites to share with other creatives. This approach builds a curated community while generating word-of-mouth growth among target users.</w:t>
      </w:r>
    </w:p>
    <w:p>
      <w:pPr>
        <w:pStyle w:val="Heading3"/>
      </w:pPr>
      <w:r>
        <w:t xml:space="preserve">Content Marketing</w:t>
      </w:r>
    </w:p>
    <w:p>
      <w:pPr>
        <w:spacing w:after="120"/>
      </w:pPr>
      <w:r>
        <w:t xml:space="preserve">The platform maintains an active blog featuring interviews with successful platform artists, design tutorials, industry insights, and curated collections. This content attracts organic search traffic while providing value to the creative community. Email newsletters highlight exceptional work and platform updates.</w:t>
      </w:r>
    </w:p>
    <w:p>
      <w:pPr>
        <w:pStyle w:val="Heading3"/>
      </w:pPr>
      <w:r>
        <w:t xml:space="preserve">Partnership Programs</w:t>
      </w:r>
    </w:p>
    <w:p>
      <w:pPr>
        <w:spacing w:after="360"/>
      </w:pPr>
      <w:r>
        <w:t xml:space="preserve">Strategic partnerships with design schools, creative bootcamps, and professional organizations introduce students and emerging professionals to the platform. Educational discounts on Pro membership support early career development while building long-term user loyalty.</w:t>
      </w:r>
    </w:p>
    <w:p>
      <w:pPr>
        <w:pStyle w:val="Heading2"/>
      </w:pPr>
      <w:r>
        <w:t xml:space="preserve">Retention Mechanisms</w:t>
      </w:r>
    </w:p>
    <w:p>
      <w:pPr>
        <w:pStyle w:val="Heading3"/>
      </w:pPr>
      <w:r>
        <w:t xml:space="preserve">Engagement Loops</w:t>
      </w:r>
    </w:p>
    <w:p>
      <w:pPr>
        <w:spacing w:after="120"/>
      </w:pPr>
      <w:r>
        <w:t xml:space="preserve">The platform creates positive engagement loops where artists share work, receive feedback and appreciation, and are motivated to share more. Notifications about likes, comments, and profile views bring users back to the platform. Weekly digest emails showcase trending work and community activity for less active users.</w:t>
      </w:r>
    </w:p>
    <w:p>
      <w:pPr>
        <w:pStyle w:val="Heading3"/>
      </w:pPr>
      <w:r>
        <w:t xml:space="preserve">Achievement System</w:t>
      </w:r>
    </w:p>
    <w:p>
      <w:pPr>
        <w:spacing w:after="120"/>
      </w:pPr>
      <w:r>
        <w:t xml:space="preserve">Subtle gamification rewards consistent participation without becoming the focus. Milestones recognize follower counts, popular posts, and community contributions. Special badges acknowledge expertise in specific creative disciplines or community leadership. These elements provide recognition while avoiding toxic competition.</w:t>
      </w:r>
    </w:p>
    <w:p>
      <w:pPr>
        <w:pStyle w:val="Heading3"/>
      </w:pPr>
      <w:r>
        <w:t xml:space="preserve">Professional Value</w:t>
      </w:r>
    </w:p>
    <w:p>
      <w:pPr>
        <w:spacing w:after="360"/>
      </w:pPr>
      <w:r>
        <w:t xml:space="preserve">Ultimately, retention depends on delivering tangible professional value. Artists who secure clients, receive job offers, or build their reputation through the platform become advocates and long-term users. The focus remains on facilitating real opportunities rather than vanity metrics.</w:t>
      </w:r>
    </w:p>
    <w:p>
      <w:r>
        <w:br w:type="page"/>
      </w:r>
    </w:p>
    <w:p>
      <w:pPr>
        <w:pStyle w:val="Heading1"/>
      </w:pPr>
      <w:r>
        <w:t xml:space="preserve">Future Development Roadmap</w:t>
      </w:r>
    </w:p>
    <w:p>
      <w:pPr>
        <w:pStyle w:val="Heading2"/>
      </w:pPr>
      <w:r>
        <w:t xml:space="preserve">Phase 1: Foundation (Months 1-6)</w:t>
      </w:r>
    </w:p>
    <w:p>
      <w:pPr>
        <w:pStyle w:val="ListParagraph"/>
        <w:numPr>
          <w:ilvl w:val="0"/>
          <w:numId w:val="2"/>
        </w:numPr>
      </w:pPr>
      <w:r>
        <w:t xml:space="preserve">Core platform launch with profiles, feed, and discovery features</w:t>
      </w:r>
    </w:p>
    <w:p>
      <w:pPr>
        <w:pStyle w:val="ListParagraph"/>
        <w:numPr>
          <w:ilvl w:val="0"/>
          <w:numId w:val="2"/>
        </w:numPr>
      </w:pPr>
      <w:r>
        <w:t xml:space="preserve">Basic messaging and commenting functionality</w:t>
      </w:r>
    </w:p>
    <w:p>
      <w:pPr>
        <w:pStyle w:val="ListParagraph"/>
        <w:numPr>
          <w:ilvl w:val="0"/>
          <w:numId w:val="2"/>
        </w:numPr>
      </w:pPr>
      <w:r>
        <w:t xml:space="preserve">Mobile responsive web interface</w:t>
      </w:r>
    </w:p>
    <w:p>
      <w:pPr>
        <w:pStyle w:val="ListParagraph"/>
        <w:numPr>
          <w:ilvl w:val="0"/>
          <w:numId w:val="2"/>
        </w:numPr>
        <w:spacing w:after="240"/>
      </w:pPr>
      <w:r>
        <w:t xml:space="preserve">Initial invite-only beta with curated artist community</w:t>
      </w:r>
    </w:p>
    <w:p>
      <w:pPr>
        <w:pStyle w:val="Heading2"/>
      </w:pPr>
      <w:r>
        <w:t xml:space="preserve">Phase 2: Enhanced Engagement (Months 7-12)</w:t>
      </w:r>
    </w:p>
    <w:p>
      <w:pPr>
        <w:pStyle w:val="ListParagraph"/>
        <w:numPr>
          <w:ilvl w:val="0"/>
          <w:numId w:val="2"/>
        </w:numPr>
      </w:pPr>
      <w:r>
        <w:t xml:space="preserve">Pro membership tier with advanced analytics and features</w:t>
      </w:r>
    </w:p>
    <w:p>
      <w:pPr>
        <w:pStyle w:val="ListParagraph"/>
        <w:numPr>
          <w:ilvl w:val="0"/>
          <w:numId w:val="2"/>
        </w:numPr>
      </w:pPr>
      <w:r>
        <w:t xml:space="preserve">Collections and project organization tools</w:t>
      </w:r>
    </w:p>
    <w:p>
      <w:pPr>
        <w:pStyle w:val="ListParagraph"/>
        <w:numPr>
          <w:ilvl w:val="0"/>
          <w:numId w:val="2"/>
        </w:numPr>
      </w:pPr>
      <w:r>
        <w:t xml:space="preserve">Enhanced search with filters and visual similarity</w:t>
      </w:r>
    </w:p>
    <w:p>
      <w:pPr>
        <w:pStyle w:val="ListParagraph"/>
        <w:numPr>
          <w:ilvl w:val="0"/>
          <w:numId w:val="2"/>
        </w:numPr>
        <w:spacing w:after="240"/>
      </w:pPr>
      <w:r>
        <w:t xml:space="preserve">Native iOS and Android applications</w:t>
      </w:r>
    </w:p>
    <w:p>
      <w:pPr>
        <w:pStyle w:val="Heading2"/>
      </w:pPr>
      <w:r>
        <w:t xml:space="preserve">Phase 3: Marketplace (Months 13-18)</w:t>
      </w:r>
    </w:p>
    <w:p>
      <w:pPr>
        <w:pStyle w:val="ListParagraph"/>
        <w:numPr>
          <w:ilvl w:val="0"/>
          <w:numId w:val="2"/>
        </w:numPr>
      </w:pPr>
      <w:r>
        <w:t xml:space="preserve">Freelance job board and project matching</w:t>
      </w:r>
    </w:p>
    <w:p>
      <w:pPr>
        <w:pStyle w:val="ListParagraph"/>
        <w:numPr>
          <w:ilvl w:val="0"/>
          <w:numId w:val="2"/>
        </w:numPr>
      </w:pPr>
      <w:r>
        <w:t xml:space="preserve">Integrated payment processing and escrow</w:t>
      </w:r>
    </w:p>
    <w:p>
      <w:pPr>
        <w:pStyle w:val="ListParagraph"/>
        <w:numPr>
          <w:ilvl w:val="0"/>
          <w:numId w:val="2"/>
        </w:numPr>
      </w:pPr>
      <w:r>
        <w:t xml:space="preserve">Portfolio review and feedback services</w:t>
      </w:r>
    </w:p>
    <w:p>
      <w:pPr>
        <w:pStyle w:val="ListParagraph"/>
        <w:numPr>
          <w:ilvl w:val="0"/>
          <w:numId w:val="2"/>
        </w:numPr>
        <w:spacing w:after="240"/>
      </w:pPr>
      <w:r>
        <w:t xml:space="preserve">Business recruitment tools and premium access</w:t>
      </w:r>
    </w:p>
    <w:p>
      <w:pPr>
        <w:pStyle w:val="Heading2"/>
      </w:pPr>
      <w:r>
        <w:t xml:space="preserve">Phase 4: Ecosystem (Months 19-24)</w:t>
      </w:r>
    </w:p>
    <w:p>
      <w:pPr>
        <w:pStyle w:val="ListParagraph"/>
        <w:numPr>
          <w:ilvl w:val="0"/>
          <w:numId w:val="2"/>
        </w:numPr>
      </w:pPr>
      <w:r>
        <w:t xml:space="preserve">Educational content platform with tutorials and courses</w:t>
      </w:r>
    </w:p>
    <w:p>
      <w:pPr>
        <w:pStyle w:val="ListParagraph"/>
        <w:numPr>
          <w:ilvl w:val="0"/>
          <w:numId w:val="2"/>
        </w:numPr>
      </w:pPr>
      <w:r>
        <w:t xml:space="preserve">Live streaming for creative processes and critiques</w:t>
      </w:r>
    </w:p>
    <w:p>
      <w:pPr>
        <w:pStyle w:val="ListParagraph"/>
        <w:numPr>
          <w:ilvl w:val="0"/>
          <w:numId w:val="2"/>
        </w:numPr>
      </w:pPr>
      <w:r>
        <w:t xml:space="preserve">Print-on-demand integration for artist merchandise</w:t>
      </w:r>
    </w:p>
    <w:p>
      <w:pPr>
        <w:pStyle w:val="ListParagraph"/>
        <w:numPr>
          <w:ilvl w:val="0"/>
          <w:numId w:val="2"/>
        </w:numPr>
        <w:spacing w:after="360"/>
      </w:pPr>
      <w:r>
        <w:t xml:space="preserve">API for third-party integrations and portfolio syndication</w:t>
      </w:r>
    </w:p>
    <w:p>
      <w:r>
        <w:br w:type="page"/>
      </w:r>
    </w:p>
    <w:p>
      <w:pPr>
        <w:pStyle w:val="Heading1"/>
      </w:pPr>
      <w:r>
        <w:t xml:space="preserve">Success Metrics and KPIs</w:t>
      </w:r>
    </w:p>
    <w:p>
      <w:pPr>
        <w:pStyle w:val="Heading2"/>
      </w:pPr>
      <w:r>
        <w:t xml:space="preserve">User Growth Metrics</w:t>
      </w:r>
    </w:p>
    <w:p>
      <w:pPr>
        <w:pStyle w:val="ListParagraph"/>
        <w:numPr>
          <w:ilvl w:val="0"/>
          <w:numId w:val="2"/>
        </w:numPr>
      </w:pPr>
      <w:r>
        <w:t xml:space="preserve">Monthly Active Users (MAU) and Daily Active Users (DAU)</w:t>
      </w:r>
    </w:p>
    <w:p>
      <w:pPr>
        <w:pStyle w:val="ListParagraph"/>
        <w:numPr>
          <w:ilvl w:val="0"/>
          <w:numId w:val="2"/>
        </w:numPr>
      </w:pPr>
      <w:r>
        <w:t xml:space="preserve">New user registration and activation rates</w:t>
      </w:r>
    </w:p>
    <w:p>
      <w:pPr>
        <w:pStyle w:val="ListParagraph"/>
        <w:numPr>
          <w:ilvl w:val="0"/>
          <w:numId w:val="2"/>
        </w:numPr>
      </w:pPr>
      <w:r>
        <w:t xml:space="preserve">Invite acceptance and referral conversion rates</w:t>
      </w:r>
    </w:p>
    <w:p>
      <w:pPr>
        <w:pStyle w:val="ListParagraph"/>
        <w:numPr>
          <w:ilvl w:val="0"/>
          <w:numId w:val="2"/>
        </w:numPr>
        <w:spacing w:after="240"/>
      </w:pPr>
      <w:r>
        <w:t xml:space="preserve">Geographic and demographic distribution of user base</w:t>
      </w:r>
    </w:p>
    <w:p>
      <w:pPr>
        <w:pStyle w:val="Heading2"/>
      </w:pPr>
      <w:r>
        <w:t xml:space="preserve">Engagement Metrics</w:t>
      </w:r>
    </w:p>
    <w:p>
      <w:pPr>
        <w:pStyle w:val="ListParagraph"/>
        <w:numPr>
          <w:ilvl w:val="0"/>
          <w:numId w:val="2"/>
        </w:numPr>
      </w:pPr>
      <w:r>
        <w:t xml:space="preserve">Average time spent on platform per session</w:t>
      </w:r>
    </w:p>
    <w:p>
      <w:pPr>
        <w:pStyle w:val="ListParagraph"/>
        <w:numPr>
          <w:ilvl w:val="0"/>
          <w:numId w:val="2"/>
        </w:numPr>
      </w:pPr>
      <w:r>
        <w:t xml:space="preserve">Content upload frequency and quality scores</w:t>
      </w:r>
    </w:p>
    <w:p>
      <w:pPr>
        <w:pStyle w:val="ListParagraph"/>
        <w:numPr>
          <w:ilvl w:val="0"/>
          <w:numId w:val="2"/>
        </w:numPr>
      </w:pPr>
      <w:r>
        <w:t xml:space="preserve">Interaction rates including likes, comments, and shares</w:t>
      </w:r>
    </w:p>
    <w:p>
      <w:pPr>
        <w:pStyle w:val="ListParagraph"/>
        <w:numPr>
          <w:ilvl w:val="0"/>
          <w:numId w:val="2"/>
        </w:numPr>
        <w:spacing w:after="240"/>
      </w:pPr>
      <w:r>
        <w:t xml:space="preserve">Profile completion rates and portfolio development</w:t>
      </w:r>
    </w:p>
    <w:p>
      <w:pPr>
        <w:pStyle w:val="Heading2"/>
      </w:pPr>
      <w:r>
        <w:t xml:space="preserve">Business Metrics</w:t>
      </w:r>
    </w:p>
    <w:p>
      <w:pPr>
        <w:pStyle w:val="ListParagraph"/>
        <w:numPr>
          <w:ilvl w:val="0"/>
          <w:numId w:val="2"/>
        </w:numPr>
      </w:pPr>
      <w:r>
        <w:t xml:space="preserve">Pro membership conversion and retention rates</w:t>
      </w:r>
    </w:p>
    <w:p>
      <w:pPr>
        <w:pStyle w:val="ListParagraph"/>
        <w:numPr>
          <w:ilvl w:val="0"/>
          <w:numId w:val="2"/>
        </w:numPr>
      </w:pPr>
      <w:r>
        <w:t xml:space="preserve">Job marketplace transaction volume and value</w:t>
      </w:r>
    </w:p>
    <w:p>
      <w:pPr>
        <w:pStyle w:val="ListParagraph"/>
        <w:numPr>
          <w:ilvl w:val="0"/>
          <w:numId w:val="2"/>
        </w:numPr>
      </w:pPr>
      <w:r>
        <w:t xml:space="preserve">Business account subscriptions and recruiter activity</w:t>
      </w:r>
    </w:p>
    <w:p>
      <w:pPr>
        <w:pStyle w:val="ListParagraph"/>
        <w:numPr>
          <w:ilvl w:val="0"/>
          <w:numId w:val="2"/>
        </w:numPr>
        <w:spacing w:after="240"/>
      </w:pPr>
      <w:r>
        <w:t xml:space="preserve">Customer Acquisition Cost (CAC) and Lifetime Value (LTV)</w:t>
      </w:r>
    </w:p>
    <w:p>
      <w:pPr>
        <w:pStyle w:val="Heading2"/>
      </w:pPr>
      <w:r>
        <w:t xml:space="preserve">Quality Indicators</w:t>
      </w:r>
    </w:p>
    <w:p>
      <w:pPr>
        <w:pStyle w:val="ListParagraph"/>
        <w:numPr>
          <w:ilvl w:val="0"/>
          <w:numId w:val="2"/>
        </w:numPr>
      </w:pPr>
      <w:r>
        <w:t xml:space="preserve">User satisfaction scores from surveys and feedback</w:t>
      </w:r>
    </w:p>
    <w:p>
      <w:pPr>
        <w:pStyle w:val="ListParagraph"/>
        <w:numPr>
          <w:ilvl w:val="0"/>
          <w:numId w:val="2"/>
        </w:numPr>
      </w:pPr>
      <w:r>
        <w:t xml:space="preserve">Content quality ratings and moderation volume</w:t>
      </w:r>
    </w:p>
    <w:p>
      <w:pPr>
        <w:pStyle w:val="ListParagraph"/>
        <w:numPr>
          <w:ilvl w:val="0"/>
          <w:numId w:val="2"/>
        </w:numPr>
      </w:pPr>
      <w:r>
        <w:t xml:space="preserve">Professional opportunities generated through the platform</w:t>
      </w:r>
    </w:p>
    <w:p>
      <w:pPr>
        <w:pStyle w:val="ListParagraph"/>
        <w:numPr>
          <w:ilvl w:val="0"/>
          <w:numId w:val="2"/>
        </w:numPr>
        <w:spacing w:after="360"/>
      </w:pPr>
      <w:r>
        <w:t xml:space="preserve">Net Promoter Score (NPS) and word-of-mouth referrals</w:t>
      </w:r>
    </w:p>
    <w:p>
      <w:r>
        <w:br w:type="page"/>
      </w:r>
    </w:p>
    <w:p>
      <w:pPr>
        <w:pStyle w:val="Heading1"/>
      </w:pPr>
      <w:r>
        <w:t xml:space="preserve">Competitive Landscape</w:t>
      </w:r>
    </w:p>
    <w:p>
      <w:pPr>
        <w:pStyle w:val="Heading2"/>
      </w:pPr>
      <w:r>
        <w:t xml:space="preserve">Direct Competitors</w:t>
      </w:r>
    </w:p>
    <w:p>
      <w:pPr>
        <w:spacing w:after="180"/>
      </w:pPr>
      <w:r>
        <w:t xml:space="preserve">The platform faces competition from established creative communities including Behance, ArtStation, and existing portfolio platforms. Each competitor has strengths in specific niches or creative disciplines. However, opportunities exist to differentiate through superior user experience, stronger community features, and better job marketplace integration.</w:t>
      </w:r>
    </w:p>
    <w:p>
      <w:pPr>
        <w:pStyle w:val="Heading2"/>
      </w:pPr>
      <w:r>
        <w:t xml:space="preserve">Competitive Advantages</w:t>
      </w:r>
    </w:p>
    <w:p>
      <w:pPr>
        <w:pStyle w:val="ListParagraph"/>
        <w:numPr>
          <w:ilvl w:val="0"/>
          <w:numId w:val="2"/>
        </w:numPr>
      </w:pPr>
      <w:r>
        <w:t xml:space="preserve">Modern, intuitive interface designed specifically for visual content</w:t>
      </w:r>
    </w:p>
    <w:p>
      <w:pPr>
        <w:pStyle w:val="ListParagraph"/>
        <w:numPr>
          <w:ilvl w:val="0"/>
          <w:numId w:val="2"/>
        </w:numPr>
      </w:pPr>
      <w:r>
        <w:t xml:space="preserve">Balanced focus on both portfolio presentation and community engagement</w:t>
      </w:r>
    </w:p>
    <w:p>
      <w:pPr>
        <w:pStyle w:val="ListParagraph"/>
        <w:numPr>
          <w:ilvl w:val="0"/>
          <w:numId w:val="2"/>
        </w:numPr>
      </w:pPr>
      <w:r>
        <w:t xml:space="preserve">Integrated professional opportunities without overwhelming promotional content</w:t>
      </w:r>
    </w:p>
    <w:p>
      <w:pPr>
        <w:pStyle w:val="ListParagraph"/>
        <w:numPr>
          <w:ilvl w:val="0"/>
          <w:numId w:val="2"/>
        </w:numPr>
      </w:pPr>
      <w:r>
        <w:t xml:space="preserve">Artist-centric design with respect for creative process and context</w:t>
      </w:r>
    </w:p>
    <w:p>
      <w:pPr>
        <w:pStyle w:val="ListParagraph"/>
        <w:numPr>
          <w:ilvl w:val="0"/>
          <w:numId w:val="2"/>
        </w:numPr>
        <w:spacing w:after="240"/>
      </w:pPr>
      <w:r>
        <w:t xml:space="preserve">Thoughtful content discovery that surfaces emerging talent alongside established artists</w:t>
      </w:r>
    </w:p>
    <w:p>
      <w:pPr>
        <w:pStyle w:val="Heading2"/>
      </w:pPr>
      <w:r>
        <w:t xml:space="preserve">Market Positioning</w:t>
      </w:r>
    </w:p>
    <w:p>
      <w:pPr>
        <w:spacing w:after="360"/>
      </w:pPr>
      <w:r>
        <w:t xml:space="preserve">The platform positions itself as the premier destination for digital creatives who want a portfolio platform that feels like a creative community rather than a generic social network or static portfolio host. The focus is on authentic connections, professional growth, and celebrating the creative process—not just finished products.</w:t>
      </w:r>
    </w:p>
    <w:p>
      <w:r>
        <w:br w:type="page"/>
      </w:r>
    </w:p>
    <w:p>
      <w:pPr>
        <w:pStyle w:val="Heading1"/>
      </w:pPr>
      <w:r>
        <w:t xml:space="preserve">Conclusion</w:t>
      </w:r>
    </w:p>
    <w:p>
      <w:pPr>
        <w:spacing w:after="180"/>
      </w:pPr>
      <w:r>
        <w:t xml:space="preserve">This design document outlines a comprehensive vision for a social media platform purpose-built for artists and creative professionals. By prioritizing visual content, fostering genuine community, and providing tangible professional value, the platform aims to become the essential digital home for creative work and career development.</w:t>
      </w:r>
    </w:p>
    <w:p>
      <w:pPr>
        <w:spacing w:after="180"/>
      </w:pPr>
      <w:r>
        <w:t xml:space="preserve">The design principles emphasize simplicity, elegance, and respect for artistic work, ensuring that the platform enhances rather than detracts from the creative content it showcases. Technical specifications ensure high performance and accessibility across devices and user abilities.</w:t>
      </w:r>
    </w:p>
    <w:p>
      <w:pPr>
        <w:spacing w:after="180"/>
      </w:pPr>
      <w:r>
        <w:t xml:space="preserve">The phased development roadmap provides a practical path from launch to mature ecosystem, allowing for iterative refinement based on user feedback and market response. Success metrics focus on meaningful engagement and professional outcomes rather than vanity metrics, keeping the platform aligned with user needs.</w:t>
      </w:r>
    </w:p>
    <w:p>
      <w:pPr>
        <w:spacing w:after="360"/>
      </w:pPr>
      <w:r>
        <w:t xml:space="preserve">Ultimately, success will be measured not just in user numbers, but in the careers advanced, opportunities created, and creative relationships formed through the platform. By staying true to these core values and continuously evolving to serve the creative community, this platform can become the definitive destination for artists in the digital age.</w:t>
      </w:r>
    </w:p>
    <w:p>
      <w:pPr>
        <w:spacing w:before="720"/>
        <w:jc w:val="center"/>
      </w:pPr>
      <w:r>
        <w:rPr>
          <w:i/>
          <w:iCs/>
          <w:color w:val="999999"/>
          <w:sz w:val="20"/>
          <w:szCs w:val="20"/>
        </w:rPr>
        <w:t xml:space="preserve">— End of Document —</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Social Media Platform for Artists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8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2026-02-02T12:38:13.294Z</dcterms:created>
  <dcterms:modified xsi:type="dcterms:W3CDTF">2026-02-02T12:38:13.295Z</dcterms:modified>
</cp:coreProperties>
</file>

<file path=docProps/custom.xml><?xml version="1.0" encoding="utf-8"?>
<Properties xmlns="http://schemas.openxmlformats.org/officeDocument/2006/custom-properties" xmlns:vt="http://schemas.openxmlformats.org/officeDocument/2006/docPropsVTypes"/>
</file>