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056A" w14:textId="77777777" w:rsidR="00E24F19" w:rsidRDefault="00000000">
      <w:pPr>
        <w:spacing w:after="20"/>
      </w:pPr>
      <w:r>
        <w:rPr>
          <w:b/>
          <w:bCs/>
          <w:color w:val="155E6B"/>
          <w:sz w:val="28"/>
          <w:szCs w:val="28"/>
        </w:rPr>
        <w:t>Spanish Fort United Methodist Church</w:t>
      </w:r>
    </w:p>
    <w:p w14:paraId="73A6B103" w14:textId="77777777" w:rsidR="00E24F19" w:rsidRDefault="00000000">
      <w:pPr>
        <w:spacing w:after="40"/>
      </w:pPr>
      <w:r>
        <w:rPr>
          <w:color w:val="595959"/>
          <w:sz w:val="22"/>
          <w:szCs w:val="22"/>
        </w:rPr>
        <w:t>Giving Analysis for the Finance Committee</w:t>
      </w:r>
    </w:p>
    <w:p w14:paraId="5CE1A371" w14:textId="77777777" w:rsidR="00E24F19" w:rsidRDefault="00000000">
      <w:pPr>
        <w:pBdr>
          <w:bottom w:val="single" w:sz="12" w:space="2" w:color="1F7A8C"/>
        </w:pBdr>
        <w:spacing w:after="150"/>
      </w:pPr>
      <w:r>
        <w:rPr>
          <w:i/>
          <w:iCs/>
          <w:color w:val="595959"/>
          <w:sz w:val="20"/>
          <w:szCs w:val="20"/>
        </w:rPr>
        <w:t>Household giving through June 17, 2026, with budget, attendance, and recovery context</w:t>
      </w:r>
    </w:p>
    <w:p w14:paraId="574820B5" w14:textId="77777777" w:rsidR="00E24F19" w:rsidRDefault="00000000">
      <w:pPr>
        <w:pBdr>
          <w:bottom w:val="single" w:sz="8" w:space="2" w:color="1F7A8C"/>
        </w:pBdr>
        <w:spacing w:before="200" w:after="70"/>
      </w:pPr>
      <w:r>
        <w:rPr>
          <w:b/>
          <w:bCs/>
          <w:color w:val="155E6B"/>
          <w:sz w:val="23"/>
          <w:szCs w:val="23"/>
        </w:rPr>
        <w:t>TLDR</w:t>
      </w:r>
    </w:p>
    <w:p w14:paraId="051BA6DC" w14:textId="77777777" w:rsidR="00E24F19" w:rsidRDefault="00000000">
      <w:pPr>
        <w:pStyle w:val="ListParagraph"/>
        <w:numPr>
          <w:ilvl w:val="0"/>
          <w:numId w:val="2"/>
        </w:numPr>
        <w:spacing w:after="70"/>
      </w:pPr>
      <w:r>
        <w:rPr>
          <w:b/>
          <w:bCs/>
        </w:rPr>
        <w:t xml:space="preserve">Giving is essentially flat year over year. </w:t>
      </w:r>
      <w:r>
        <w:t>Identified giving is $332,397 through mid-June, against $338,068 at the same point in 2025, a difference of 1.7%.</w:t>
      </w:r>
    </w:p>
    <w:p w14:paraId="10DCF701" w14:textId="77777777" w:rsidR="00E24F19" w:rsidRDefault="00000000">
      <w:pPr>
        <w:pStyle w:val="ListParagraph"/>
        <w:numPr>
          <w:ilvl w:val="0"/>
          <w:numId w:val="2"/>
        </w:numPr>
        <w:spacing w:after="70"/>
      </w:pPr>
      <w:r>
        <w:rPr>
          <w:b/>
          <w:bCs/>
        </w:rPr>
        <w:t xml:space="preserve">The makeup shifted more than the total. </w:t>
      </w:r>
      <w:r>
        <w:t>Pledge giving is down about $24,951 while non-pledge is up about $26,364, most likely because fewer households turned in a pledge card but many kept giving as non-pledge.</w:t>
      </w:r>
    </w:p>
    <w:p w14:paraId="07FC93DE" w14:textId="401FC061" w:rsidR="00E24F19" w:rsidRDefault="00000000">
      <w:pPr>
        <w:pStyle w:val="ListParagraph"/>
        <w:numPr>
          <w:ilvl w:val="0"/>
          <w:numId w:val="2"/>
        </w:numPr>
        <w:spacing w:after="70"/>
      </w:pPr>
      <w:r>
        <w:rPr>
          <w:b/>
          <w:bCs/>
        </w:rPr>
        <w:t xml:space="preserve">The same households gave about the same. </w:t>
      </w:r>
      <w:r>
        <w:t>The 131 who gave by mid-year in both years gave $311,906 last year and $310,459 this year. The higher average and median are mostly because many small, occasional givers have not given yet in 2026.</w:t>
      </w:r>
    </w:p>
    <w:p w14:paraId="7FC16F74" w14:textId="77777777" w:rsidR="00E24F19" w:rsidRDefault="00000000">
      <w:pPr>
        <w:pStyle w:val="ListParagraph"/>
        <w:numPr>
          <w:ilvl w:val="0"/>
          <w:numId w:val="2"/>
        </w:numPr>
        <w:spacing w:after="70"/>
      </w:pPr>
      <w:r>
        <w:rPr>
          <w:b/>
          <w:bCs/>
        </w:rPr>
        <w:t xml:space="preserve">Worship attendance is up while giving is flat. </w:t>
      </w:r>
      <w:r>
        <w:t>Average in-person worship has climbed from about 209 after the 2024 split to 216 in early 2025 and 230 in early 2026, while dollars held flat, because newer attenders give in small amounts at first.</w:t>
      </w:r>
    </w:p>
    <w:p w14:paraId="3ADDC41B" w14:textId="77777777" w:rsidR="00E24F19" w:rsidRDefault="00000000">
      <w:pPr>
        <w:pStyle w:val="ListParagraph"/>
        <w:numPr>
          <w:ilvl w:val="0"/>
          <w:numId w:val="2"/>
        </w:numPr>
        <w:spacing w:after="70"/>
      </w:pPr>
      <w:r>
        <w:rPr>
          <w:b/>
          <w:bCs/>
        </w:rPr>
        <w:t xml:space="preserve">The core that stayed has grown more generous. </w:t>
      </w:r>
      <w:r>
        <w:t>The 88 households who gave every year from 2023 through 2026 increased their giving 24%, from $480,856 to $596,332, with the median up from $3,485 to $4,399.</w:t>
      </w:r>
    </w:p>
    <w:p w14:paraId="68B90929" w14:textId="2A256FFB" w:rsidR="00E24F19" w:rsidRDefault="00B725F7">
      <w:pPr>
        <w:pStyle w:val="ListParagraph"/>
        <w:numPr>
          <w:ilvl w:val="0"/>
          <w:numId w:val="2"/>
        </w:numPr>
        <w:spacing w:after="70"/>
      </w:pPr>
      <w:r>
        <w:rPr>
          <w:b/>
          <w:bCs/>
        </w:rPr>
        <w:t xml:space="preserve">Many </w:t>
      </w:r>
      <w:r w:rsidR="00000000">
        <w:rPr>
          <w:b/>
          <w:bCs/>
        </w:rPr>
        <w:t xml:space="preserve">who </w:t>
      </w:r>
      <w:r>
        <w:rPr>
          <w:b/>
          <w:bCs/>
        </w:rPr>
        <w:t>haven’t given yet</w:t>
      </w:r>
      <w:r w:rsidR="00000000">
        <w:rPr>
          <w:b/>
          <w:bCs/>
        </w:rPr>
        <w:t xml:space="preserve"> are still here. </w:t>
      </w:r>
      <w:r w:rsidR="00000000">
        <w:t>Of 78 households that gave in 2025 and nothing yet in 2026, 15 are clearly active in 2026</w:t>
      </w:r>
      <w:r>
        <w:t>,</w:t>
      </w:r>
      <w:r w:rsidR="00000000">
        <w:t xml:space="preserve"> and most of the rest </w:t>
      </w:r>
      <w:r>
        <w:t xml:space="preserve">were </w:t>
      </w:r>
      <w:r w:rsidR="00000000">
        <w:t xml:space="preserve">small gifts. </w:t>
      </w:r>
    </w:p>
    <w:p w14:paraId="1DA1636E" w14:textId="77777777" w:rsidR="00E24F19" w:rsidRDefault="00000000">
      <w:pPr>
        <w:pStyle w:val="ListParagraph"/>
        <w:numPr>
          <w:ilvl w:val="0"/>
          <w:numId w:val="2"/>
        </w:numPr>
        <w:spacing w:after="70"/>
      </w:pPr>
      <w:r>
        <w:rPr>
          <w:b/>
          <w:bCs/>
        </w:rPr>
        <w:t xml:space="preserve">Members give 80%, non-members a real 16%. </w:t>
      </w:r>
      <w:r>
        <w:t>Members account for about $266,000 of 2026 giving, 46 non-member households for about $53,000, and 24 brand-new households for about $5,400.</w:t>
      </w:r>
    </w:p>
    <w:p w14:paraId="53703E43" w14:textId="77777777" w:rsidR="00E24F19" w:rsidRDefault="00000000">
      <w:pPr>
        <w:pStyle w:val="ListParagraph"/>
        <w:numPr>
          <w:ilvl w:val="0"/>
          <w:numId w:val="2"/>
        </w:numPr>
        <w:spacing w:after="70"/>
      </w:pPr>
      <w:r>
        <w:rPr>
          <w:b/>
          <w:bCs/>
        </w:rPr>
        <w:t xml:space="preserve">Offerings should roughly meet budget if year-end giving holds. </w:t>
      </w:r>
      <w:r>
        <w:t>Giving is at 43% of the $776,328 offering budget with 46% of the year elapsed, about $23,000 behind a straight-line pace, which back-loaded giving usually closes.</w:t>
      </w:r>
    </w:p>
    <w:p w14:paraId="14117F3D" w14:textId="77777777" w:rsidR="00E24F19" w:rsidRDefault="00000000">
      <w:pPr>
        <w:pStyle w:val="ListParagraph"/>
        <w:numPr>
          <w:ilvl w:val="0"/>
          <w:numId w:val="2"/>
        </w:numPr>
        <w:spacing w:after="70"/>
      </w:pPr>
      <w:r>
        <w:rPr>
          <w:b/>
          <w:bCs/>
        </w:rPr>
        <w:t xml:space="preserve">The pledge line is an informed estimate, not a guess. </w:t>
      </w:r>
      <w:r>
        <w:t>The $541,920 budget combines roughly $461,000 in returned pledges with about $80,000 of known-intent households. Receipts are expected to finish somewhat under that, with conservatively budgeted non-pledge helping cover the difference.</w:t>
      </w:r>
    </w:p>
    <w:p w14:paraId="7E4AF40A" w14:textId="1D241EBC" w:rsidR="00E24F19" w:rsidRDefault="00000000">
      <w:pPr>
        <w:pStyle w:val="ListParagraph"/>
        <w:numPr>
          <w:ilvl w:val="0"/>
          <w:numId w:val="2"/>
        </w:numPr>
        <w:spacing w:after="70"/>
      </w:pPr>
      <w:r>
        <w:rPr>
          <w:b/>
          <w:bCs/>
        </w:rPr>
        <w:t xml:space="preserve">The gap is structural, from the 2024 split. </w:t>
      </w:r>
      <w:r>
        <w:t>With about 40% of members and $658,000 in annual giving lost, the real 2026 operating deficit is near $134,000, covered by designated funds.</w:t>
      </w:r>
    </w:p>
    <w:p w14:paraId="2026477A" w14:textId="77777777" w:rsidR="00E24F19" w:rsidRDefault="00000000">
      <w:pPr>
        <w:pBdr>
          <w:bottom w:val="single" w:sz="8" w:space="2" w:color="1F7A8C"/>
        </w:pBdr>
        <w:spacing w:before="200" w:after="70"/>
      </w:pPr>
      <w:r>
        <w:rPr>
          <w:b/>
          <w:bCs/>
          <w:color w:val="155E6B"/>
          <w:sz w:val="23"/>
          <w:szCs w:val="23"/>
        </w:rPr>
        <w:t>The bottom line</w:t>
      </w:r>
    </w:p>
    <w:p w14:paraId="7790E6F0" w14:textId="19A803AC" w:rsidR="00E24F19" w:rsidRDefault="00000000">
      <w:pPr>
        <w:spacing w:after="120"/>
      </w:pPr>
      <w:r>
        <w:t>Among the households still with us, 2026 giving is holding even with last year. Identified giving stands at $332,397 through mid-June, against $338,068 at the same point in 2025, a difference of 1.7%. The steady total rests on an established core that kept giving at the same level, while a batch of small, occasional givers ha</w:t>
      </w:r>
      <w:r w:rsidR="008F295A">
        <w:t>ve</w:t>
      </w:r>
      <w:r>
        <w:t xml:space="preserve"> not given yet this year. The households that have</w:t>
      </w:r>
      <w:r w:rsidR="008F295A">
        <w:t xml:space="preserve">n’t given so far </w:t>
      </w:r>
      <w:r>
        <w:t>are, for the most part, still active in the church rather than gone. Against budget, offerings are tracking to roughly meet plan if year-end giving arrives as it usually does. The operating gap that remains is structural, a legacy of the 2024 split, and it is the reason the property and rental strategy matters more than anything we can squeeze from a giving base that is already stable.</w:t>
      </w:r>
    </w:p>
    <w:p w14:paraId="0CF87A4E" w14:textId="77777777" w:rsidR="00E24F19" w:rsidRDefault="00000000">
      <w:pPr>
        <w:pBdr>
          <w:bottom w:val="single" w:sz="8" w:space="2" w:color="1F7A8C"/>
        </w:pBdr>
        <w:spacing w:before="200" w:after="70"/>
      </w:pPr>
      <w:r>
        <w:rPr>
          <w:b/>
          <w:bCs/>
          <w:color w:val="155E6B"/>
          <w:sz w:val="23"/>
          <w:szCs w:val="23"/>
        </w:rPr>
        <w:t>Where 2026 giving stands</w:t>
      </w:r>
    </w:p>
    <w:p w14:paraId="3378B237" w14:textId="5DA18CD6" w:rsidR="00E24F19" w:rsidRDefault="00000000">
      <w:pPr>
        <w:spacing w:after="120"/>
      </w:pPr>
      <w:r>
        <w:t>Pledge giving is down about $24,951 while non-pledge giving is up about $26,364, so the two nearly offset. The likeliest reason is that fewer households turned in a pledge card during a stewardship season that lost some of its momentum, yet many of those households kept giving, now counted as non-pledge rather than pledge. The base did not shrink so much as recategorize.</w:t>
      </w:r>
    </w:p>
    <w:p w14:paraId="3859C471" w14:textId="4A276E66" w:rsidR="00E24F19" w:rsidRDefault="00E24F19">
      <w:pPr>
        <w:spacing w:after="80"/>
      </w:pPr>
    </w:p>
    <w:p w14:paraId="0A50E757" w14:textId="77777777" w:rsidR="00842BF6" w:rsidRDefault="00842BF6">
      <w:pPr>
        <w:spacing w:after="80"/>
      </w:pPr>
    </w:p>
    <w:p w14:paraId="7131EEB0" w14:textId="77777777" w:rsidR="00842BF6" w:rsidRDefault="00842BF6">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40"/>
        <w:gridCol w:w="2680"/>
        <w:gridCol w:w="3360"/>
      </w:tblGrid>
      <w:tr w:rsidR="00E24F19" w14:paraId="79D47B0E" w14:textId="77777777">
        <w:tblPrEx>
          <w:tblCellMar>
            <w:top w:w="0" w:type="dxa"/>
            <w:bottom w:w="0" w:type="dxa"/>
          </w:tblCellMar>
        </w:tblPrEx>
        <w:tc>
          <w:tcPr>
            <w:tcW w:w="4040" w:type="dxa"/>
            <w:tcBorders>
              <w:top w:val="single" w:sz="1" w:space="0" w:color="CCCCCC"/>
              <w:left w:val="single" w:sz="1" w:space="0" w:color="CCCCCC"/>
              <w:bottom w:val="single" w:sz="1" w:space="0" w:color="CCCCCC"/>
              <w:right w:val="single" w:sz="1" w:space="0" w:color="CCCCCC"/>
            </w:tcBorders>
            <w:shd w:val="clear" w:color="auto" w:fill="D7ECF0"/>
            <w:tcMar>
              <w:top w:w="50" w:type="dxa"/>
              <w:left w:w="110" w:type="dxa"/>
              <w:bottom w:w="50" w:type="dxa"/>
              <w:right w:w="110" w:type="dxa"/>
            </w:tcMar>
          </w:tcPr>
          <w:p w14:paraId="66D2026F" w14:textId="77777777" w:rsidR="00E24F19" w:rsidRDefault="00000000">
            <w:r>
              <w:rPr>
                <w:b/>
                <w:bCs/>
                <w:sz w:val="19"/>
                <w:szCs w:val="19"/>
              </w:rPr>
              <w:lastRenderedPageBreak/>
              <w:t>Through June 17</w:t>
            </w:r>
          </w:p>
        </w:tc>
        <w:tc>
          <w:tcPr>
            <w:tcW w:w="2680" w:type="dxa"/>
            <w:tcBorders>
              <w:top w:val="single" w:sz="1" w:space="0" w:color="CCCCCC"/>
              <w:left w:val="single" w:sz="1" w:space="0" w:color="CCCCCC"/>
              <w:bottom w:val="single" w:sz="1" w:space="0" w:color="CCCCCC"/>
              <w:right w:val="single" w:sz="1" w:space="0" w:color="CCCCCC"/>
            </w:tcBorders>
            <w:shd w:val="clear" w:color="auto" w:fill="D7ECF0"/>
            <w:tcMar>
              <w:top w:w="50" w:type="dxa"/>
              <w:left w:w="110" w:type="dxa"/>
              <w:bottom w:w="50" w:type="dxa"/>
              <w:right w:w="110" w:type="dxa"/>
            </w:tcMar>
          </w:tcPr>
          <w:p w14:paraId="21B43EEF" w14:textId="77777777" w:rsidR="00E24F19" w:rsidRDefault="00000000">
            <w:pPr>
              <w:jc w:val="right"/>
            </w:pPr>
            <w:r>
              <w:rPr>
                <w:b/>
                <w:bCs/>
                <w:sz w:val="19"/>
                <w:szCs w:val="19"/>
              </w:rPr>
              <w:t>2026</w:t>
            </w:r>
          </w:p>
        </w:tc>
        <w:tc>
          <w:tcPr>
            <w:tcW w:w="3360" w:type="dxa"/>
            <w:tcBorders>
              <w:top w:val="single" w:sz="1" w:space="0" w:color="CCCCCC"/>
              <w:left w:val="single" w:sz="1" w:space="0" w:color="CCCCCC"/>
              <w:bottom w:val="single" w:sz="1" w:space="0" w:color="CCCCCC"/>
              <w:right w:val="single" w:sz="1" w:space="0" w:color="CCCCCC"/>
            </w:tcBorders>
            <w:shd w:val="clear" w:color="auto" w:fill="D7ECF0"/>
            <w:tcMar>
              <w:top w:w="50" w:type="dxa"/>
              <w:left w:w="110" w:type="dxa"/>
              <w:bottom w:w="50" w:type="dxa"/>
              <w:right w:w="110" w:type="dxa"/>
            </w:tcMar>
          </w:tcPr>
          <w:p w14:paraId="1ADF0BCD" w14:textId="77777777" w:rsidR="00E24F19" w:rsidRDefault="00000000">
            <w:pPr>
              <w:jc w:val="right"/>
            </w:pPr>
            <w:r>
              <w:rPr>
                <w:b/>
                <w:bCs/>
                <w:sz w:val="19"/>
                <w:szCs w:val="19"/>
              </w:rPr>
              <w:t>2025</w:t>
            </w:r>
          </w:p>
        </w:tc>
      </w:tr>
      <w:tr w:rsidR="00E24F19" w14:paraId="2D02AE50" w14:textId="77777777">
        <w:tblPrEx>
          <w:tblCellMar>
            <w:top w:w="0" w:type="dxa"/>
            <w:bottom w:w="0" w:type="dxa"/>
          </w:tblCellMar>
        </w:tblPrEx>
        <w:tc>
          <w:tcPr>
            <w:tcW w:w="40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6781C224" w14:textId="77777777" w:rsidR="00E24F19" w:rsidRDefault="00000000">
            <w:r>
              <w:rPr>
                <w:sz w:val="19"/>
                <w:szCs w:val="19"/>
              </w:rPr>
              <w:t>Identified giving</w:t>
            </w:r>
          </w:p>
        </w:tc>
        <w:tc>
          <w:tcPr>
            <w:tcW w:w="2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7801DB3B" w14:textId="77777777" w:rsidR="00E24F19" w:rsidRDefault="00000000">
            <w:pPr>
              <w:jc w:val="right"/>
            </w:pPr>
            <w:r>
              <w:rPr>
                <w:sz w:val="19"/>
                <w:szCs w:val="19"/>
              </w:rPr>
              <w:t>$332,397</w:t>
            </w:r>
          </w:p>
        </w:tc>
        <w:tc>
          <w:tcPr>
            <w:tcW w:w="33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7A4465CF" w14:textId="77777777" w:rsidR="00E24F19" w:rsidRDefault="00000000">
            <w:pPr>
              <w:jc w:val="right"/>
            </w:pPr>
            <w:r>
              <w:rPr>
                <w:sz w:val="19"/>
                <w:szCs w:val="19"/>
              </w:rPr>
              <w:t>$338,068</w:t>
            </w:r>
          </w:p>
        </w:tc>
      </w:tr>
      <w:tr w:rsidR="00E24F19" w14:paraId="56C01E23" w14:textId="77777777">
        <w:tblPrEx>
          <w:tblCellMar>
            <w:top w:w="0" w:type="dxa"/>
            <w:bottom w:w="0" w:type="dxa"/>
          </w:tblCellMar>
        </w:tblPrEx>
        <w:tc>
          <w:tcPr>
            <w:tcW w:w="40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5AE5ED21" w14:textId="77777777" w:rsidR="00E24F19" w:rsidRDefault="00000000">
            <w:r>
              <w:rPr>
                <w:sz w:val="19"/>
                <w:szCs w:val="19"/>
              </w:rPr>
              <w:t xml:space="preserve">  Pledge</w:t>
            </w:r>
          </w:p>
        </w:tc>
        <w:tc>
          <w:tcPr>
            <w:tcW w:w="2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41C7026D" w14:textId="77777777" w:rsidR="00E24F19" w:rsidRDefault="00000000">
            <w:pPr>
              <w:jc w:val="right"/>
            </w:pPr>
            <w:r>
              <w:rPr>
                <w:sz w:val="19"/>
                <w:szCs w:val="19"/>
              </w:rPr>
              <w:t>$196,428</w:t>
            </w:r>
          </w:p>
        </w:tc>
        <w:tc>
          <w:tcPr>
            <w:tcW w:w="33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0AB4D79B" w14:textId="77777777" w:rsidR="00E24F19" w:rsidRDefault="00000000">
            <w:pPr>
              <w:jc w:val="right"/>
            </w:pPr>
            <w:r>
              <w:rPr>
                <w:sz w:val="19"/>
                <w:szCs w:val="19"/>
              </w:rPr>
              <w:t>$221,379</w:t>
            </w:r>
          </w:p>
        </w:tc>
      </w:tr>
      <w:tr w:rsidR="00E24F19" w14:paraId="6D541E08" w14:textId="77777777">
        <w:tblPrEx>
          <w:tblCellMar>
            <w:top w:w="0" w:type="dxa"/>
            <w:bottom w:w="0" w:type="dxa"/>
          </w:tblCellMar>
        </w:tblPrEx>
        <w:tc>
          <w:tcPr>
            <w:tcW w:w="40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235113D6" w14:textId="77777777" w:rsidR="00E24F19" w:rsidRDefault="00000000">
            <w:r>
              <w:rPr>
                <w:sz w:val="19"/>
                <w:szCs w:val="19"/>
              </w:rPr>
              <w:t xml:space="preserve">  Non-pledge</w:t>
            </w:r>
          </w:p>
        </w:tc>
        <w:tc>
          <w:tcPr>
            <w:tcW w:w="2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7872BA87" w14:textId="77777777" w:rsidR="00E24F19" w:rsidRDefault="00000000">
            <w:pPr>
              <w:jc w:val="right"/>
            </w:pPr>
            <w:r>
              <w:rPr>
                <w:sz w:val="19"/>
                <w:szCs w:val="19"/>
              </w:rPr>
              <w:t>$135,969</w:t>
            </w:r>
          </w:p>
        </w:tc>
        <w:tc>
          <w:tcPr>
            <w:tcW w:w="33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646AB950" w14:textId="77777777" w:rsidR="00E24F19" w:rsidRDefault="00000000">
            <w:pPr>
              <w:jc w:val="right"/>
            </w:pPr>
            <w:r>
              <w:rPr>
                <w:sz w:val="19"/>
                <w:szCs w:val="19"/>
              </w:rPr>
              <w:t>$109,605</w:t>
            </w:r>
          </w:p>
        </w:tc>
      </w:tr>
      <w:tr w:rsidR="00E24F19" w14:paraId="0F278E97" w14:textId="77777777">
        <w:tblPrEx>
          <w:tblCellMar>
            <w:top w:w="0" w:type="dxa"/>
            <w:bottom w:w="0" w:type="dxa"/>
          </w:tblCellMar>
        </w:tblPrEx>
        <w:tc>
          <w:tcPr>
            <w:tcW w:w="40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4F110F4B" w14:textId="77777777" w:rsidR="00E24F19" w:rsidRDefault="00000000">
            <w:r>
              <w:rPr>
                <w:sz w:val="19"/>
                <w:szCs w:val="19"/>
              </w:rPr>
              <w:t>Giving households</w:t>
            </w:r>
          </w:p>
        </w:tc>
        <w:tc>
          <w:tcPr>
            <w:tcW w:w="2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5C8489C9" w14:textId="77777777" w:rsidR="00E24F19" w:rsidRDefault="00000000">
            <w:pPr>
              <w:jc w:val="right"/>
            </w:pPr>
            <w:r>
              <w:rPr>
                <w:sz w:val="19"/>
                <w:szCs w:val="19"/>
              </w:rPr>
              <w:t>172</w:t>
            </w:r>
          </w:p>
        </w:tc>
        <w:tc>
          <w:tcPr>
            <w:tcW w:w="33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63A6C02E" w14:textId="77777777" w:rsidR="00E24F19" w:rsidRDefault="00000000">
            <w:pPr>
              <w:jc w:val="right"/>
            </w:pPr>
            <w:r>
              <w:rPr>
                <w:sz w:val="19"/>
                <w:szCs w:val="19"/>
              </w:rPr>
              <w:t>189</w:t>
            </w:r>
          </w:p>
        </w:tc>
      </w:tr>
      <w:tr w:rsidR="00E24F19" w14:paraId="3E1443A6" w14:textId="77777777">
        <w:tblPrEx>
          <w:tblCellMar>
            <w:top w:w="0" w:type="dxa"/>
            <w:bottom w:w="0" w:type="dxa"/>
          </w:tblCellMar>
        </w:tblPrEx>
        <w:tc>
          <w:tcPr>
            <w:tcW w:w="40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7B95DD37" w14:textId="77777777" w:rsidR="00E24F19" w:rsidRDefault="00000000">
            <w:r>
              <w:rPr>
                <w:sz w:val="19"/>
                <w:szCs w:val="19"/>
              </w:rPr>
              <w:t>Average gift</w:t>
            </w:r>
          </w:p>
        </w:tc>
        <w:tc>
          <w:tcPr>
            <w:tcW w:w="2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3F54872F" w14:textId="77777777" w:rsidR="00E24F19" w:rsidRDefault="00000000">
            <w:pPr>
              <w:jc w:val="right"/>
            </w:pPr>
            <w:r>
              <w:rPr>
                <w:sz w:val="19"/>
                <w:szCs w:val="19"/>
              </w:rPr>
              <w:t>$1,933</w:t>
            </w:r>
          </w:p>
        </w:tc>
        <w:tc>
          <w:tcPr>
            <w:tcW w:w="33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28D2E7D3" w14:textId="77777777" w:rsidR="00E24F19" w:rsidRDefault="00000000">
            <w:pPr>
              <w:jc w:val="right"/>
            </w:pPr>
            <w:r>
              <w:rPr>
                <w:sz w:val="19"/>
                <w:szCs w:val="19"/>
              </w:rPr>
              <w:t>$1,789</w:t>
            </w:r>
          </w:p>
        </w:tc>
      </w:tr>
      <w:tr w:rsidR="00E24F19" w14:paraId="00BBAEBF" w14:textId="77777777">
        <w:tblPrEx>
          <w:tblCellMar>
            <w:top w:w="0" w:type="dxa"/>
            <w:bottom w:w="0" w:type="dxa"/>
          </w:tblCellMar>
        </w:tblPrEx>
        <w:tc>
          <w:tcPr>
            <w:tcW w:w="404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2A740169" w14:textId="77777777" w:rsidR="00E24F19" w:rsidRDefault="00000000">
            <w:r>
              <w:rPr>
                <w:sz w:val="19"/>
                <w:szCs w:val="19"/>
              </w:rPr>
              <w:t>Median gift</w:t>
            </w:r>
          </w:p>
        </w:tc>
        <w:tc>
          <w:tcPr>
            <w:tcW w:w="268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3F66E546" w14:textId="77777777" w:rsidR="00E24F19" w:rsidRDefault="00000000">
            <w:pPr>
              <w:jc w:val="right"/>
            </w:pPr>
            <w:r>
              <w:rPr>
                <w:sz w:val="19"/>
                <w:szCs w:val="19"/>
              </w:rPr>
              <w:t>$811</w:t>
            </w:r>
          </w:p>
        </w:tc>
        <w:tc>
          <w:tcPr>
            <w:tcW w:w="3360" w:type="dxa"/>
            <w:tcBorders>
              <w:top w:val="single" w:sz="1" w:space="0" w:color="CCCCCC"/>
              <w:left w:val="single" w:sz="1" w:space="0" w:color="CCCCCC"/>
              <w:bottom w:val="single" w:sz="1" w:space="0" w:color="CCCCCC"/>
              <w:right w:val="single" w:sz="1" w:space="0" w:color="CCCCCC"/>
            </w:tcBorders>
            <w:tcMar>
              <w:top w:w="50" w:type="dxa"/>
              <w:left w:w="110" w:type="dxa"/>
              <w:bottom w:w="50" w:type="dxa"/>
              <w:right w:w="110" w:type="dxa"/>
            </w:tcMar>
          </w:tcPr>
          <w:p w14:paraId="697676E2" w14:textId="77777777" w:rsidR="00E24F19" w:rsidRDefault="00000000">
            <w:pPr>
              <w:jc w:val="right"/>
            </w:pPr>
            <w:r>
              <w:rPr>
                <w:sz w:val="19"/>
                <w:szCs w:val="19"/>
              </w:rPr>
              <w:t>$520</w:t>
            </w:r>
          </w:p>
        </w:tc>
      </w:tr>
    </w:tbl>
    <w:p w14:paraId="1E39A3E2" w14:textId="77777777" w:rsidR="00842BF6" w:rsidRDefault="00842BF6">
      <w:pPr>
        <w:spacing w:after="60"/>
      </w:pPr>
    </w:p>
    <w:p w14:paraId="3B2B856B" w14:textId="239ECD60" w:rsidR="00E24F19" w:rsidRDefault="00000000">
      <w:pPr>
        <w:spacing w:after="60"/>
      </w:pPr>
      <w:r>
        <w:t>Worship attendance helps reconcile the picture. After the 2024 split, in-person worship settled at about 209 a week, measured over the church's August through December window. It has climbed since, to about 216 through mid-June 2025 and 230 through mid-June 2026, in line with the new faces showing up. Giving held flat over the same span because newer attenders give in small amounts at first, and the 41 new or earlier givers this year added only about $22,000. More people are in the room, and the dollars they bring will build over time. The first half of 2024 averaged near 300, but those counts still included members who left, so the post-split figure is the honest baseline.</w:t>
      </w:r>
    </w:p>
    <w:p w14:paraId="0FAA1DE9" w14:textId="77777777" w:rsidR="00E24F19" w:rsidRDefault="00000000">
      <w:pPr>
        <w:pBdr>
          <w:bottom w:val="single" w:sz="8" w:space="2" w:color="1F7A8C"/>
        </w:pBdr>
        <w:spacing w:before="200" w:after="70"/>
      </w:pPr>
      <w:r>
        <w:rPr>
          <w:b/>
          <w:bCs/>
          <w:color w:val="155E6B"/>
          <w:sz w:val="23"/>
          <w:szCs w:val="23"/>
        </w:rPr>
        <w:t>The health of the current giving base</w:t>
      </w:r>
    </w:p>
    <w:p w14:paraId="0C4A2FE4" w14:textId="77777777" w:rsidR="00E24F19" w:rsidRDefault="00000000">
      <w:pPr>
        <w:spacing w:after="120"/>
      </w:pPr>
      <w:r>
        <w:t>Members account for about 80% of 2026 giving, roughly $266,000. Non-members are not a rounding error: 46 households have given about $53,000 so far this year, with a small remainder from records of unknown type. Twenty-four households are giving in 2026 who gave nothing in the prior three years, about $5,400 in total. The dollars are modest, but the engagement is real and worth nurturing. Matched to the membership records, 81% of giving households carry a recent activity date, so the base is not only steady in dollars but present in the life of the church.</w:t>
      </w:r>
    </w:p>
    <w:p w14:paraId="151BF2CE" w14:textId="77777777" w:rsidR="00E24F19" w:rsidRDefault="00000000">
      <w:pPr>
        <w:spacing w:after="120"/>
      </w:pPr>
      <w:r>
        <w:t>The households who came through the split have grown more generous over time. Among those who gave in every year from 2023 through 2026, a group of 88 households, total giving rose from $480,856 in 2023 to $596,332 in 2025, an increase of 24%, with the median gift climbing from $3,485 to $4,399. This is the one pre-2025 comparison the data supports cleanly, since it follows the same households across the years rather than the shifting whole.</w:t>
      </w:r>
    </w:p>
    <w:p w14:paraId="6C3E8C6B" w14:textId="77777777" w:rsidR="00E24F19" w:rsidRDefault="00000000">
      <w:pPr>
        <w:pBdr>
          <w:bottom w:val="single" w:sz="8" w:space="2" w:color="1F7A8C"/>
        </w:pBdr>
        <w:spacing w:before="200" w:after="70"/>
      </w:pPr>
      <w:r>
        <w:rPr>
          <w:b/>
          <w:bCs/>
          <w:color w:val="155E6B"/>
          <w:sz w:val="23"/>
          <w:szCs w:val="23"/>
        </w:rPr>
        <w:t>Who has stopped giving</w:t>
      </w:r>
    </w:p>
    <w:p w14:paraId="369DDEEE" w14:textId="14DAF2E7" w:rsidR="00E24F19" w:rsidRDefault="00000000">
      <w:pPr>
        <w:spacing w:after="120"/>
      </w:pPr>
      <w:r>
        <w:t>Seventy-eight households that gave during 2025 have given nothing yet in 2026, about $87,000 of last year's giving. Matched to the membership records by family, most of them have not left. Fifteen are clearly still here, with church activity dated into 2026, and they account for $35,845, including the large year-end giver who gives late every year. The other 63 have no recorded activity in 2026, about $51,000, but that figure overstates the concern. Most of it is small gifts, and because last activity counts giving itself, a household that has simply paused often shows a date that just marks its final 2025 gift rather than a departure, especially since attendance is lightly recorded in our system.</w:t>
      </w:r>
      <w:r w:rsidR="00842BF6">
        <w:t xml:space="preserve"> Some of the smaller gifts also come from visiting family or one time guests.</w:t>
      </w:r>
    </w:p>
    <w:p w14:paraId="617E2641" w14:textId="6A832F8C" w:rsidR="00E24F19" w:rsidRDefault="00000000">
      <w:pPr>
        <w:spacing w:after="120"/>
      </w:pPr>
      <w:r>
        <w:t>The follow-up that actually matters is short. S</w:t>
      </w:r>
      <w:r w:rsidR="00842BF6">
        <w:t xml:space="preserve">ix </w:t>
      </w:r>
      <w:r>
        <w:t>households gave $1,000 or more in 2025 and have no 2026 activity, totaling roughly $12,400</w:t>
      </w:r>
      <w:r w:rsidR="00842BF6">
        <w:t>.</w:t>
      </w:r>
    </w:p>
    <w:p w14:paraId="54B7463C" w14:textId="77777777" w:rsidR="00E24F19" w:rsidRDefault="00000000">
      <w:pPr>
        <w:pBdr>
          <w:bottom w:val="single" w:sz="8" w:space="2" w:color="1F7A8C"/>
        </w:pBdr>
        <w:spacing w:before="200" w:after="70"/>
      </w:pPr>
      <w:r>
        <w:rPr>
          <w:b/>
          <w:bCs/>
          <w:color w:val="155E6B"/>
          <w:sz w:val="23"/>
          <w:szCs w:val="23"/>
        </w:rPr>
        <w:t>Giving against the 2026 budget</w:t>
      </w:r>
    </w:p>
    <w:p w14:paraId="160E4C28" w14:textId="77777777" w:rsidR="00E24F19" w:rsidRDefault="00000000">
      <w:pPr>
        <w:spacing w:after="120"/>
      </w:pPr>
      <w:r>
        <w:t>The 2026 budget counts on $776,328 in pledge and non-pledge offerings. Identified giving through mid-June is at 43% of that figure, with the calendar 46% elapsed, so giving sits about $23,000 behind a straight-line pace. Church giving is back-loaded toward year end, and with the expected year-end gifts the offering lines should land close to budget.</w:t>
      </w:r>
    </w:p>
    <w:p w14:paraId="3D8C64A3" w14:textId="77777777" w:rsidR="00E24F19" w:rsidRDefault="00000000">
      <w:pPr>
        <w:spacing w:after="120"/>
      </w:pPr>
      <w:r>
        <w:t xml:space="preserve">One number is worth explaining. The budget's pledge line of $541,920 combines the roughly $461,000 in pledge cards actually returned with about $80,000 in households known to have pledged last year and expected to keep giving who had not turned in a card. It is an informed estimate built from real commitments and known intent. Pledge receipts are still expected to finish somewhat under $541,920 once the categories settle, so the committee should plan toward that returned-and-likely range. The non-pledge line of $234,408 </w:t>
      </w:r>
      <w:r>
        <w:lastRenderedPageBreak/>
        <w:t>is set conservatively, below 2025's actual non-pledge of $260,472, so continued strength there should help cover any pledge shortfall.</w:t>
      </w:r>
    </w:p>
    <w:p w14:paraId="4DFD8D57" w14:textId="77777777" w:rsidR="00E24F19" w:rsidRDefault="00000000">
      <w:pPr>
        <w:pBdr>
          <w:bottom w:val="single" w:sz="8" w:space="2" w:color="1F7A8C"/>
        </w:pBdr>
        <w:spacing w:before="200" w:after="70"/>
      </w:pPr>
      <w:r>
        <w:rPr>
          <w:b/>
          <w:bCs/>
          <w:color w:val="155E6B"/>
          <w:sz w:val="23"/>
          <w:szCs w:val="23"/>
        </w:rPr>
        <w:t>The larger context</w:t>
      </w:r>
    </w:p>
    <w:p w14:paraId="1324316D" w14:textId="77777777" w:rsidR="00E24F19" w:rsidRDefault="00000000">
      <w:pPr>
        <w:spacing w:after="120"/>
      </w:pPr>
      <w:r>
        <w:t>None of this can be read apart from the 2024 denominational split, when roughly 40% of the membership withdrew and about $658,000 in annual giving left with them. That single event is the backdrop to the deficit, the staff reductions, and the building work. The 2025 year was rescued by IRS employee-retention refunds totaling about $311,000, which produced a $171,000 surplus and left the church with roughly $922,000 in reserves entering this year. The 2026 budget balances on paper, but the real operating deficit is about $134,000, covered by drawing designated funds. The recovery is happening but it is not finished.</w:t>
      </w:r>
    </w:p>
    <w:p w14:paraId="6E88EEDF" w14:textId="45C3FD94" w:rsidR="00E24F19" w:rsidRDefault="00000000">
      <w:pPr>
        <w:spacing w:after="120"/>
      </w:pPr>
      <w:r>
        <w:t xml:space="preserve">This is why the giving base, stable as it is, cannot be the whole plan. Leadership has chosen not to cut further and instead to build new revenue, from Eastern Shore Outreach, grant partnerships, the thrift store, and most consequentially the West Campus. </w:t>
      </w:r>
    </w:p>
    <w:p w14:paraId="1640DDC5" w14:textId="77777777" w:rsidR="00E24F19" w:rsidRDefault="00000000">
      <w:pPr>
        <w:pBdr>
          <w:bottom w:val="single" w:sz="8" w:space="2" w:color="1F7A8C"/>
        </w:pBdr>
        <w:spacing w:before="200" w:after="70"/>
      </w:pPr>
      <w:r>
        <w:rPr>
          <w:b/>
          <w:bCs/>
          <w:color w:val="155E6B"/>
          <w:sz w:val="23"/>
          <w:szCs w:val="23"/>
        </w:rPr>
        <w:t>A note on the data</w:t>
      </w:r>
    </w:p>
    <w:p w14:paraId="518892AD" w14:textId="0C99822C" w:rsidR="00E24F19" w:rsidRDefault="00000000">
      <w:pPr>
        <w:spacing w:after="120"/>
      </w:pPr>
      <w:r>
        <w:rPr>
          <w:i/>
          <w:iCs/>
          <w:color w:val="595959"/>
        </w:rPr>
        <w:t>These figures come from de-identified giving records, with names removed and each household reduced to a code, so no individual giving history is exposed in this document. Membership detail, including last-activity dates, was matched to the giving by Shelby's family and user IDs. A few limits</w:t>
      </w:r>
      <w:r w:rsidR="00FD374C">
        <w:rPr>
          <w:i/>
          <w:iCs/>
          <w:color w:val="595959"/>
        </w:rPr>
        <w:t xml:space="preserve">. </w:t>
      </w:r>
      <w:r>
        <w:rPr>
          <w:i/>
          <w:iCs/>
          <w:color w:val="595959"/>
        </w:rPr>
        <w:t>The file reflects households currently in our system, so it cannot reconstruct pre-split giving totals from 2023 and early 2024, because members who left are no longer in the records, and the audited budget actuals remain authoritative for history. The membership Status field proved unreliable and was not used to judge who is still active. And because last activity counts giving itself, and attendance is lightly recorded, a quiet household cannot be assumed to have left. The analysis is kept to the current base, to 2025 and 2026 where the data reconciles to our reported figures, and to households who have given continuously, whose own records support a comparison back to 2023.</w:t>
      </w:r>
    </w:p>
    <w:sectPr w:rsidR="00E24F1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921BB"/>
    <w:multiLevelType w:val="hybridMultilevel"/>
    <w:tmpl w:val="7570BB86"/>
    <w:lvl w:ilvl="0" w:tplc="B454921C">
      <w:start w:val="1"/>
      <w:numFmt w:val="bullet"/>
      <w:lvlText w:val="•"/>
      <w:lvlJc w:val="left"/>
      <w:pPr>
        <w:ind w:left="420" w:hanging="240"/>
      </w:pPr>
    </w:lvl>
    <w:lvl w:ilvl="1" w:tplc="BBB23C72">
      <w:numFmt w:val="decimal"/>
      <w:lvlText w:val=""/>
      <w:lvlJc w:val="left"/>
    </w:lvl>
    <w:lvl w:ilvl="2" w:tplc="4266CA40">
      <w:numFmt w:val="decimal"/>
      <w:lvlText w:val=""/>
      <w:lvlJc w:val="left"/>
    </w:lvl>
    <w:lvl w:ilvl="3" w:tplc="6CBE39CA">
      <w:numFmt w:val="decimal"/>
      <w:lvlText w:val=""/>
      <w:lvlJc w:val="left"/>
    </w:lvl>
    <w:lvl w:ilvl="4" w:tplc="67E067CA">
      <w:numFmt w:val="decimal"/>
      <w:lvlText w:val=""/>
      <w:lvlJc w:val="left"/>
    </w:lvl>
    <w:lvl w:ilvl="5" w:tplc="15083044">
      <w:numFmt w:val="decimal"/>
      <w:lvlText w:val=""/>
      <w:lvlJc w:val="left"/>
    </w:lvl>
    <w:lvl w:ilvl="6" w:tplc="FEDA91C4">
      <w:numFmt w:val="decimal"/>
      <w:lvlText w:val=""/>
      <w:lvlJc w:val="left"/>
    </w:lvl>
    <w:lvl w:ilvl="7" w:tplc="7D0CBC2E">
      <w:numFmt w:val="decimal"/>
      <w:lvlText w:val=""/>
      <w:lvlJc w:val="left"/>
    </w:lvl>
    <w:lvl w:ilvl="8" w:tplc="A34868A8">
      <w:numFmt w:val="decimal"/>
      <w:lvlText w:val=""/>
      <w:lvlJc w:val="left"/>
    </w:lvl>
  </w:abstractNum>
  <w:abstractNum w:abstractNumId="1" w15:restartNumberingAfterBreak="0">
    <w:nsid w:val="5F127A48"/>
    <w:multiLevelType w:val="hybridMultilevel"/>
    <w:tmpl w:val="F7983CF4"/>
    <w:lvl w:ilvl="0" w:tplc="A61AD92C">
      <w:start w:val="1"/>
      <w:numFmt w:val="bullet"/>
      <w:lvlText w:val="●"/>
      <w:lvlJc w:val="left"/>
      <w:pPr>
        <w:ind w:left="720" w:hanging="360"/>
      </w:pPr>
    </w:lvl>
    <w:lvl w:ilvl="1" w:tplc="F6582B28">
      <w:start w:val="1"/>
      <w:numFmt w:val="bullet"/>
      <w:lvlText w:val="○"/>
      <w:lvlJc w:val="left"/>
      <w:pPr>
        <w:ind w:left="1440" w:hanging="360"/>
      </w:pPr>
    </w:lvl>
    <w:lvl w:ilvl="2" w:tplc="28F22372">
      <w:start w:val="1"/>
      <w:numFmt w:val="bullet"/>
      <w:lvlText w:val="■"/>
      <w:lvlJc w:val="left"/>
      <w:pPr>
        <w:ind w:left="2160" w:hanging="360"/>
      </w:pPr>
    </w:lvl>
    <w:lvl w:ilvl="3" w:tplc="3B6E7B16">
      <w:start w:val="1"/>
      <w:numFmt w:val="bullet"/>
      <w:lvlText w:val="●"/>
      <w:lvlJc w:val="left"/>
      <w:pPr>
        <w:ind w:left="2880" w:hanging="360"/>
      </w:pPr>
    </w:lvl>
    <w:lvl w:ilvl="4" w:tplc="8E0E321A">
      <w:start w:val="1"/>
      <w:numFmt w:val="bullet"/>
      <w:lvlText w:val="○"/>
      <w:lvlJc w:val="left"/>
      <w:pPr>
        <w:ind w:left="3600" w:hanging="360"/>
      </w:pPr>
    </w:lvl>
    <w:lvl w:ilvl="5" w:tplc="6D00295A">
      <w:start w:val="1"/>
      <w:numFmt w:val="bullet"/>
      <w:lvlText w:val="■"/>
      <w:lvlJc w:val="left"/>
      <w:pPr>
        <w:ind w:left="4320" w:hanging="360"/>
      </w:pPr>
    </w:lvl>
    <w:lvl w:ilvl="6" w:tplc="AF4A2D94">
      <w:start w:val="1"/>
      <w:numFmt w:val="bullet"/>
      <w:lvlText w:val="●"/>
      <w:lvlJc w:val="left"/>
      <w:pPr>
        <w:ind w:left="5040" w:hanging="360"/>
      </w:pPr>
    </w:lvl>
    <w:lvl w:ilvl="7" w:tplc="E702DD64">
      <w:start w:val="1"/>
      <w:numFmt w:val="bullet"/>
      <w:lvlText w:val="●"/>
      <w:lvlJc w:val="left"/>
      <w:pPr>
        <w:ind w:left="5760" w:hanging="360"/>
      </w:pPr>
    </w:lvl>
    <w:lvl w:ilvl="8" w:tplc="F4F88D8E">
      <w:start w:val="1"/>
      <w:numFmt w:val="bullet"/>
      <w:lvlText w:val="●"/>
      <w:lvlJc w:val="left"/>
      <w:pPr>
        <w:ind w:left="6480" w:hanging="360"/>
      </w:pPr>
    </w:lvl>
  </w:abstractNum>
  <w:num w:numId="1" w16cid:durableId="826477185">
    <w:abstractNumId w:val="1"/>
    <w:lvlOverride w:ilvl="0">
      <w:startOverride w:val="1"/>
    </w:lvlOverride>
  </w:num>
  <w:num w:numId="2" w16cid:durableId="1398825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F19"/>
    <w:rsid w:val="000A54BE"/>
    <w:rsid w:val="002775B0"/>
    <w:rsid w:val="003B3498"/>
    <w:rsid w:val="00842BF6"/>
    <w:rsid w:val="008F295A"/>
    <w:rsid w:val="00B725F7"/>
    <w:rsid w:val="00E24F19"/>
    <w:rsid w:val="00FD3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768A78"/>
  <w15:docId w15:val="{032CA39F-C9E6-8346-A49F-4FFC823A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1390</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Church Resources</cp:lastModifiedBy>
  <cp:revision>6</cp:revision>
  <dcterms:created xsi:type="dcterms:W3CDTF">2026-06-18T02:04:00Z</dcterms:created>
  <dcterms:modified xsi:type="dcterms:W3CDTF">2026-06-18T15:51:00Z</dcterms:modified>
</cp:coreProperties>
</file>