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5760"/>
      </w:tblGrid>
      <w:tr>
        <w:tc>
          <w:tcPr>
            <w:tcW w:type="dxa" w:w="5184"/>
            <w:shd w:fill="090A08"/>
            <w:tcMar>
              <w:top w:w="320" w:type="dxa"/>
              <w:start w:w="260" w:type="dxa"/>
              <w:bottom w:w="320" w:type="dxa"/>
              <w:end w:w="26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240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ki_App_Icon_102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240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shd w:fill="090A08"/>
            <w:tcMar>
              <w:top w:w="320" w:type="dxa"/>
              <w:start w:w="260" w:type="dxa"/>
              <w:bottom w:w="320" w:type="dxa"/>
              <w:end w:w="260" w:type="dxa"/>
            </w:tcMar>
            <w:vAlign w:val="center"/>
          </w:tcPr>
          <w:p>
            <w:r>
              <w:rPr>
                <w:rFonts w:ascii="Arial" w:hAnsi="Arial"/>
                <w:b/>
                <w:color w:val="F5F7EF"/>
                <w:sz w:val="84"/>
              </w:rPr>
              <w:t>TAKI</w:t>
            </w:r>
          </w:p>
          <w:p>
            <w:pPr>
              <w:spacing w:after="320"/>
            </w:pPr>
            <w:r>
              <w:rPr>
                <w:color w:val="D7FF3F"/>
                <w:sz w:val="32"/>
              </w:rPr>
              <w:t>Tu música, sin distracciones.</w:t>
            </w:r>
          </w:p>
          <w:p>
            <w:r>
              <w:rPr>
                <w:color w:val="A8AEA0"/>
                <w:sz w:val="20"/>
              </w:rPr>
              <w:t>Identidad de marca · borrador 0.1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171A1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color w:val="D7FF3F"/>
                <w:sz w:val="26"/>
              </w:rPr>
              <w:t>Estado del documento</w:t>
            </w:r>
          </w:p>
          <w:p>
            <w:pPr>
              <w:spacing w:after="0"/>
            </w:pPr>
            <w:r>
              <w:rPr>
                <w:color w:val="F5F7EF"/>
              </w:rPr>
              <w:t>Dirección de marca para implementación inicial. El nombre, las capacidades del producto y el modelo comercial aún requieren validación lingüística, técnica, legal y de mercado.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01 · ESTRATEGIA</w:t>
      </w:r>
    </w:p>
    <w:p>
      <w:pPr>
        <w:pStyle w:val="Heading1"/>
      </w:pPr>
      <w:r>
        <w:t>La idea central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171A1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color w:val="D7FF3F"/>
                <w:sz w:val="26"/>
              </w:rPr>
              <w:t>Promesa</w:t>
            </w:r>
          </w:p>
          <w:p>
            <w:pPr>
              <w:spacing w:after="0"/>
            </w:pPr>
            <w:r>
              <w:rPr>
                <w:color w:val="F5F7EF"/>
              </w:rPr>
              <w:t>Escuchar tu música sin distracciones. La app mantiene la complejidad de conexión en segundo plano para que el usuario se concentre en reproducir.</w:t>
            </w:r>
          </w:p>
        </w:tc>
      </w:tr>
    </w:tbl>
    <w:p>
      <w:pPr>
        <w:spacing w:after="20"/>
      </w:pPr>
    </w:p>
    <w:p>
      <w:pPr>
        <w:pStyle w:val="Heading2"/>
      </w:pPr>
      <w:r>
        <w:t>Posicionamiento provisional</w:t>
      </w:r>
    </w:p>
    <w:p>
      <w:r>
        <w:t>Taki es un reproductor para colecciones musicales personales o compartidas. Prioriza una escucha sencilla, continua y privada frente a las funciones sociales, la configuración extrema y la sobrecarga de recomendaciones.</w:t>
      </w:r>
    </w:p>
    <w:p>
      <w:pPr>
        <w:pStyle w:val="Heading2"/>
      </w:pPr>
      <w:r>
        <w:t>Principios de producto</w:t>
      </w:r>
    </w:p>
    <w:p>
      <w:pPr>
        <w:pStyle w:val="ListBullet"/>
        <w:spacing w:after="60"/>
      </w:pPr>
      <w:r>
        <w:t>La música lidera; la infraestructura permanece detrás.</w:t>
      </w:r>
    </w:p>
    <w:p>
      <w:pPr>
        <w:pStyle w:val="ListBullet"/>
        <w:spacing w:after="60"/>
      </w:pPr>
      <w:r>
        <w:t>La interfaz ayuda a continuar escuchando, incluso cuando cambia la conexión.</w:t>
      </w:r>
    </w:p>
    <w:p>
      <w:pPr>
        <w:pStyle w:val="ListBullet"/>
        <w:spacing w:after="60"/>
      </w:pPr>
      <w:r>
        <w:t>Los mensajes explican qué puede hacer el oyente; el diagnóstico técnico queda disponible bajo demanda.</w:t>
      </w:r>
    </w:p>
    <w:p>
      <w:pPr>
        <w:pStyle w:val="ListBullet"/>
        <w:spacing w:after="60"/>
      </w:pPr>
      <w:r>
        <w:t>Las portadas aportan expresión; la interfaz conserva calma y consistencia.</w:t>
      </w:r>
    </w:p>
    <w:p>
      <w:pPr>
        <w:pStyle w:val="ListBullet"/>
        <w:spacing w:after="60"/>
      </w:pPr>
      <w:r>
        <w:t>La reproducción básica no debería depender de comprender servidores, VPN o caché.</w:t>
      </w:r>
    </w:p>
    <w:p>
      <w:pPr>
        <w:pStyle w:val="Heading2"/>
      </w:pPr>
      <w:r>
        <w:t>Audiencia inicial</w:t>
      </w:r>
    </w:p>
    <w:p>
      <w:r>
        <w:t>Personas que acceden a una biblioteca musical propia o administrada por alguien de confianza y quieren una alternativa enfocada, sin anuncios ni componentes sociales.</w:t>
      </w:r>
    </w:p>
    <w:p>
      <w:r>
        <w:br w:type="page"/>
      </w:r>
    </w:p>
    <w:p>
      <w:pPr>
        <w:pStyle w:val="Eyebrow"/>
      </w:pPr>
      <w:r>
        <w:t>02 · LENGUAJE</w:t>
      </w:r>
    </w:p>
    <w:p>
      <w:pPr>
        <w:pStyle w:val="Heading1"/>
      </w:pPr>
      <w:r>
        <w:t>Nombre y mensaje</w:t>
      </w:r>
    </w:p>
    <w:p>
      <w:pPr>
        <w:pStyle w:val="Heading2"/>
      </w:pPr>
      <w:r>
        <w:t>Taki</w:t>
      </w:r>
    </w:p>
    <w:p>
      <w:r>
        <w:t>Nombre corto inspirado en la relación del término kichwa con música, canción y canto. Su origen aporta sentido y una conexión personal, pero debe confirmarse con hablantes o especialistas antes del lanzamiento comercial.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171A1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color w:val="D7FF3F"/>
                <w:sz w:val="26"/>
              </w:rPr>
              <w:t>Lema principal</w:t>
            </w:r>
          </w:p>
          <w:p>
            <w:pPr>
              <w:spacing w:after="0"/>
            </w:pPr>
            <w:r>
              <w:rPr>
                <w:color w:val="F5F7EF"/>
              </w:rPr>
              <w:t>Tu música, sin distracciones.</w:t>
            </w:r>
          </w:p>
        </w:tc>
      </w:tr>
    </w:tbl>
    <w:p>
      <w:pPr>
        <w:spacing w:after="20"/>
      </w:pPr>
    </w:p>
    <w:p>
      <w:pPr>
        <w:pStyle w:val="Heading2"/>
      </w:pPr>
      <w:r>
        <w:t>Mensajes secundarios</w:t>
      </w:r>
    </w:p>
    <w:p>
      <w:pPr>
        <w:pStyle w:val="ListBullet"/>
        <w:spacing w:after="60"/>
      </w:pPr>
      <w:r>
        <w:t>Más música. Menos ruido.</w:t>
      </w:r>
    </w:p>
    <w:p>
      <w:pPr>
        <w:pStyle w:val="ListBullet"/>
        <w:spacing w:after="60"/>
      </w:pPr>
      <w:r>
        <w:t>Tu colección, lista para escuchar.</w:t>
      </w:r>
    </w:p>
    <w:p>
      <w:pPr>
        <w:pStyle w:val="ListBullet"/>
        <w:spacing w:after="60"/>
      </w:pPr>
      <w:r>
        <w:t>La conexión cambia. La música continúa.</w:t>
      </w:r>
    </w:p>
    <w:p>
      <w:pPr>
        <w:pStyle w:val="ListBullet"/>
        <w:spacing w:after="60"/>
      </w:pPr>
      <w:r>
        <w:t>Solo abre, elige y escucha.</w:t>
      </w:r>
    </w:p>
    <w:p>
      <w:pPr>
        <w:pStyle w:val="Heading2"/>
      </w:pPr>
      <w:r>
        <w:t>Evitar</w:t>
      </w:r>
    </w:p>
    <w:p>
      <w:r>
        <w:t>No presentar Taki al oyente como un «cliente Subsonic/Navidrome» ni usar términos como servidor, endpoint, caché o túnel en la comunicación principal. Esos conceptos pertenecen a configuración y diagnóstico.</w:t>
      </w:r>
    </w:p>
    <w:p>
      <w:r>
        <w:br w:type="page"/>
      </w:r>
    </w:p>
    <w:p>
      <w:pPr>
        <w:pStyle w:val="Eyebrow"/>
      </w:pPr>
      <w:r>
        <w:t>03 · IDENTIDAD VISUAL</w:t>
      </w:r>
    </w:p>
    <w:p>
      <w:pPr>
        <w:pStyle w:val="Heading1"/>
      </w:pPr>
      <w:r>
        <w:t>Sistema de logotipo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6ef5285b-1d02-47b7-b98e-63517d40de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Construcción</w:t>
      </w:r>
    </w:p>
    <w:p>
      <w:r>
        <w:t>La t personalizada funciona simultáneamente como inicial y nota musical. El asta y el travesaño tienen mayor peso; la cabeza ovalada refuerza la lectura musical. En tamaños pequeños se utiliza únicamente el símbolo.</w:t>
      </w:r>
    </w:p>
    <w:p>
      <w:pPr>
        <w:pStyle w:val="Heading2"/>
      </w:pPr>
      <w:r>
        <w:t>Reglas mínimas</w:t>
      </w:r>
    </w:p>
    <w:p>
      <w:pPr>
        <w:pStyle w:val="ListBullet"/>
        <w:spacing w:after="60"/>
      </w:pPr>
      <w:r>
        <w:t>Mantener un área libre equivalente al diámetro de la cabeza de la nota.</w:t>
      </w:r>
    </w:p>
    <w:p>
      <w:pPr>
        <w:pStyle w:val="ListBullet"/>
        <w:spacing w:after="60"/>
      </w:pPr>
      <w:r>
        <w:t>Usar el símbolo solo a partir de 24 px; por debajo, revisar legibilidad en el dispositivo real.</w:t>
      </w:r>
    </w:p>
    <w:p>
      <w:pPr>
        <w:pStyle w:val="ListBullet"/>
        <w:spacing w:after="60"/>
      </w:pPr>
      <w:r>
        <w:t>No estirar, inclinar, añadir sombras ni modificar la relación entre asta, travesaño y cabeza.</w:t>
      </w:r>
    </w:p>
    <w:p>
      <w:pPr>
        <w:pStyle w:val="ListBullet"/>
        <w:spacing w:after="60"/>
      </w:pPr>
      <w:r>
        <w:t>En fondos oscuros: t lima y aki marfil. En fondos claros: t lima y aki negro.</w:t>
      </w:r>
    </w:p>
    <w:p>
      <w:r>
        <w:br w:type="page"/>
      </w:r>
    </w:p>
    <w:p>
      <w:pPr>
        <w:pStyle w:val="Eyebrow"/>
      </w:pPr>
      <w:r>
        <w:t>04 · SISTEMA VISUAL</w:t>
      </w:r>
    </w:p>
    <w:p>
      <w:pPr>
        <w:pStyle w:val="Heading1"/>
      </w:pPr>
      <w:r>
        <w:t>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90A08"/>
          </w:tcPr>
          <w:p>
            <w:r>
              <w:rPr>
                <w:b/>
                <w:color w:val="F5F7EF"/>
              </w:rPr>
              <w:t>Token</w:t>
            </w:r>
          </w:p>
        </w:tc>
        <w:tc>
          <w:tcPr>
            <w:tcW w:type="dxa" w:w="3456"/>
            <w:shd w:fill="090A08"/>
          </w:tcPr>
          <w:p>
            <w:r>
              <w:rPr>
                <w:b/>
                <w:color w:val="F5F7EF"/>
              </w:rPr>
              <w:t>Valor</w:t>
            </w:r>
          </w:p>
        </w:tc>
        <w:tc>
          <w:tcPr>
            <w:tcW w:type="dxa" w:w="3456"/>
            <w:shd w:fill="090A08"/>
          </w:tcPr>
          <w:p>
            <w:r>
              <w:rPr>
                <w:b/>
                <w:color w:val="F5F7EF"/>
              </w:rPr>
              <w:t>Uso</w:t>
            </w:r>
          </w:p>
        </w:tc>
      </w:tr>
      <w:tr>
        <w:tc>
          <w:tcPr>
            <w:tcW w:type="dxa" w:w="3456"/>
          </w:tcPr>
          <w:p>
            <w:r>
              <w:t>Lima Taki</w:t>
            </w:r>
          </w:p>
        </w:tc>
        <w:tc>
          <w:tcPr>
            <w:tcW w:type="dxa" w:w="3456"/>
            <w:shd w:fill="D7FF3F"/>
          </w:tcPr>
          <w:p>
            <w:r>
              <w:rPr>
                <w:color w:val="090A08"/>
              </w:rPr>
              <w:t>#D7FF3F</w:t>
            </w:r>
          </w:p>
        </w:tc>
        <w:tc>
          <w:tcPr>
            <w:tcW w:type="dxa" w:w="3456"/>
          </w:tcPr>
          <w:p>
            <w:r>
              <w:t>Marca, selección y acciones activas</w:t>
            </w:r>
          </w:p>
        </w:tc>
      </w:tr>
      <w:tr>
        <w:tc>
          <w:tcPr>
            <w:tcW w:type="dxa" w:w="3456"/>
          </w:tcPr>
          <w:p>
            <w:r>
              <w:t>Negro</w:t>
            </w:r>
          </w:p>
        </w:tc>
        <w:tc>
          <w:tcPr>
            <w:tcW w:type="dxa" w:w="3456"/>
            <w:shd w:fill="090A08"/>
          </w:tcPr>
          <w:p>
            <w:r>
              <w:rPr>
                <w:color w:val="F5F7EF"/>
              </w:rPr>
              <w:t>#090A08</w:t>
            </w:r>
          </w:p>
        </w:tc>
        <w:tc>
          <w:tcPr>
            <w:tcW w:type="dxa" w:w="3456"/>
          </w:tcPr>
          <w:p>
            <w:r>
              <w:t>Fondo principal</w:t>
            </w:r>
          </w:p>
        </w:tc>
      </w:tr>
      <w:tr>
        <w:tc>
          <w:tcPr>
            <w:tcW w:type="dxa" w:w="3456"/>
          </w:tcPr>
          <w:p>
            <w:r>
              <w:t>Negro profundo</w:t>
            </w:r>
          </w:p>
        </w:tc>
        <w:tc>
          <w:tcPr>
            <w:tcW w:type="dxa" w:w="3456"/>
            <w:shd w:fill="0D0F0B"/>
          </w:tcPr>
          <w:p>
            <w:r>
              <w:rPr>
                <w:color w:val="F5F7EF"/>
              </w:rPr>
              <w:t>#0D0F0B</w:t>
            </w:r>
          </w:p>
        </w:tc>
        <w:tc>
          <w:tcPr>
            <w:tcW w:type="dxa" w:w="3456"/>
          </w:tcPr>
          <w:p>
            <w:r>
              <w:t>Variación estructural</w:t>
            </w:r>
          </w:p>
        </w:tc>
      </w:tr>
      <w:tr>
        <w:tc>
          <w:tcPr>
            <w:tcW w:type="dxa" w:w="3456"/>
          </w:tcPr>
          <w:p>
            <w:r>
              <w:t>Superficie</w:t>
            </w:r>
          </w:p>
        </w:tc>
        <w:tc>
          <w:tcPr>
            <w:tcW w:type="dxa" w:w="3456"/>
            <w:shd w:fill="171A14"/>
          </w:tcPr>
          <w:p>
            <w:r>
              <w:rPr>
                <w:color w:val="F5F7EF"/>
              </w:rPr>
              <w:t>#171A14</w:t>
            </w:r>
          </w:p>
        </w:tc>
        <w:tc>
          <w:tcPr>
            <w:tcW w:type="dxa" w:w="3456"/>
          </w:tcPr>
          <w:p>
            <w:r>
              <w:t>Tarjetas y paneles</w:t>
            </w:r>
          </w:p>
        </w:tc>
      </w:tr>
      <w:tr>
        <w:tc>
          <w:tcPr>
            <w:tcW w:type="dxa" w:w="3456"/>
          </w:tcPr>
          <w:p>
            <w:r>
              <w:t>Marfil</w:t>
            </w:r>
          </w:p>
        </w:tc>
        <w:tc>
          <w:tcPr>
            <w:tcW w:type="dxa" w:w="3456"/>
            <w:shd w:fill="F5F7EF"/>
          </w:tcPr>
          <w:p>
            <w:r>
              <w:rPr>
                <w:color w:val="090A08"/>
              </w:rPr>
              <w:t>#F5F7EF</w:t>
            </w:r>
          </w:p>
        </w:tc>
        <w:tc>
          <w:tcPr>
            <w:tcW w:type="dxa" w:w="3456"/>
          </w:tcPr>
          <w:p>
            <w:r>
              <w:t>Texto principal e iconos clave</w:t>
            </w:r>
          </w:p>
        </w:tc>
      </w:tr>
      <w:tr>
        <w:tc>
          <w:tcPr>
            <w:tcW w:type="dxa" w:w="3456"/>
          </w:tcPr>
          <w:p>
            <w:r>
              <w:t>Gris</w:t>
            </w:r>
          </w:p>
        </w:tc>
        <w:tc>
          <w:tcPr>
            <w:tcW w:type="dxa" w:w="3456"/>
            <w:shd w:fill="A8AEA0"/>
          </w:tcPr>
          <w:p>
            <w:r>
              <w:rPr>
                <w:color w:val="090A08"/>
              </w:rPr>
              <w:t>#A8AEA0</w:t>
            </w:r>
          </w:p>
        </w:tc>
        <w:tc>
          <w:tcPr>
            <w:tcW w:type="dxa" w:w="3456"/>
          </w:tcPr>
          <w:p>
            <w:r>
              <w:t>Metadata y controles secundarios</w:t>
            </w:r>
          </w:p>
        </w:tc>
      </w:tr>
      <w:tr>
        <w:tc>
          <w:tcPr>
            <w:tcW w:type="dxa" w:w="3456"/>
          </w:tcPr>
          <w:p>
            <w:r>
              <w:t>Pista</w:t>
            </w:r>
          </w:p>
        </w:tc>
        <w:tc>
          <w:tcPr>
            <w:tcW w:type="dxa" w:w="3456"/>
            <w:shd w:fill="30352A"/>
          </w:tcPr>
          <w:p>
            <w:r>
              <w:rPr>
                <w:color w:val="F5F7EF"/>
              </w:rPr>
              <w:t>#30352A</w:t>
            </w:r>
          </w:p>
        </w:tc>
        <w:tc>
          <w:tcPr>
            <w:tcW w:type="dxa" w:w="3456"/>
          </w:tcPr>
          <w:p>
            <w:r>
              <w:t>Divisores y progreso inactivo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171A1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color w:val="D7FF3F"/>
                <w:sz w:val="26"/>
              </w:rPr>
              <w:t>Uso del acento</w:t>
            </w:r>
          </w:p>
          <w:p>
            <w:pPr>
              <w:spacing w:after="0"/>
            </w:pPr>
            <w:r>
              <w:rPr>
                <w:color w:val="F5F7EF"/>
              </w:rPr>
              <w:t>La lima identifica selección, progreso y estado activo. No debe teñir tarjetas completas ni competir con las portadas. Para progreso continuo se usa una variante atenuada (#A9C92F).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05 · PRODUCTO</w:t>
      </w:r>
    </w:p>
    <w:p>
      <w:pPr>
        <w:pStyle w:val="Heading1"/>
      </w:pPr>
      <w:r>
        <w:t>Aplicación en interfaz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8"/>
        <w:gridCol w:w="4968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48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ki_Home_Mock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4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0348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ki_Player_Mocku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034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Decisiones de interfaz</w:t>
      </w:r>
    </w:p>
    <w:p>
      <w:pPr>
        <w:pStyle w:val="ListBullet"/>
        <w:spacing w:after="60"/>
      </w:pPr>
      <w:r>
        <w:t>Navegación principal abajo en pantallas de exploración.</w:t>
      </w:r>
    </w:p>
    <w:p>
      <w:pPr>
        <w:pStyle w:val="ListBullet"/>
        <w:spacing w:after="60"/>
      </w:pPr>
      <w:r>
        <w:t>Reproductor completo inmersivo, sin barra global ni header pesado.</w:t>
      </w:r>
    </w:p>
    <w:p>
      <w:pPr>
        <w:pStyle w:val="ListBullet"/>
        <w:spacing w:after="60"/>
      </w:pPr>
      <w:r>
        <w:t>Progreso fino y discreto; ambos tiempos usan el mismo gris secundario.</w:t>
      </w:r>
    </w:p>
    <w:p>
      <w:pPr>
        <w:pStyle w:val="ListBullet"/>
        <w:spacing w:after="60"/>
      </w:pPr>
      <w:r>
        <w:t>La lima se reserva para selección y posición, no para metadata.</w:t>
      </w:r>
    </w:p>
    <w:p>
      <w:pPr>
        <w:pStyle w:val="ListBullet"/>
        <w:spacing w:after="60"/>
      </w:pPr>
      <w:r>
        <w:t>Controles de reproducción en marfil o gris; el botón Play no necesita círculo de color.</w:t>
      </w:r>
    </w:p>
    <w:p>
      <w:r>
        <w:br w:type="page"/>
      </w:r>
    </w:p>
    <w:p>
      <w:pPr>
        <w:pStyle w:val="Eyebrow"/>
      </w:pPr>
      <w:r>
        <w:t>06 · COMUNICACIÓN</w:t>
      </w:r>
    </w:p>
    <w:p>
      <w:pPr>
        <w:pStyle w:val="Heading1"/>
      </w:pPr>
      <w:r>
        <w:t>Voz y uso responsable</w:t>
      </w:r>
    </w:p>
    <w:p>
      <w:pPr>
        <w:pStyle w:val="Heading2"/>
      </w:pPr>
      <w:r>
        <w:t>Personalidad</w:t>
      </w:r>
    </w:p>
    <w:p>
      <w:r>
        <w:t>Calma, directa y cercana. Taki habla como una buena herramienta de escucha: explica lo necesario, evita exhibir complejidad y no intenta convertir cada acción en una celebración.</w:t>
      </w:r>
    </w:p>
    <w:p>
      <w:pPr>
        <w:pStyle w:val="Heading2"/>
      </w:pPr>
      <w:r>
        <w:t>Patrones de mensaje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F1F3EB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color w:val="718000"/>
                <w:sz w:val="26"/>
              </w:rPr>
              <w:t>Sin conexión</w:t>
            </w:r>
          </w:p>
          <w:p>
            <w:pPr>
              <w:spacing w:after="0"/>
            </w:pPr>
            <w:r>
              <w:rPr>
                <w:color w:val="090A08"/>
              </w:rPr>
              <w:t>Estás escuchando lo que ya está en tu dispositivo. Cuando vuelva la conexión, Taki continuará normalmente.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F1F3EB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color w:val="718000"/>
                <w:sz w:val="26"/>
              </w:rPr>
              <w:t>Colección no disponible</w:t>
            </w:r>
          </w:p>
          <w:p>
            <w:pPr>
              <w:spacing w:after="0"/>
            </w:pPr>
            <w:r>
              <w:rPr>
                <w:color w:val="090A08"/>
              </w:rPr>
              <w:t>No pudimos acceder a tu colección. Puedes seguir con tu música descargada o ver el diagnóstico.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F1F3EB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b/>
                <w:color w:val="718000"/>
                <w:sz w:val="26"/>
              </w:rPr>
              <w:t>Archivo incompatible</w:t>
            </w:r>
          </w:p>
          <w:p>
            <w:pPr>
              <w:spacing w:after="0"/>
            </w:pPr>
            <w:r>
              <w:rPr>
                <w:color w:val="090A08"/>
              </w:rPr>
              <w:t>Esta canción no se puede reproducir. Puedes ver el diagnóstico y enviarlo a quien administra la colección.</w:t>
            </w:r>
          </w:p>
        </w:tc>
      </w:tr>
    </w:tbl>
    <w:p>
      <w:pPr>
        <w:spacing w:after="20"/>
      </w:pPr>
    </w:p>
    <w:p>
      <w:pPr>
        <w:pStyle w:val="Heading2"/>
      </w:pPr>
      <w:r>
        <w:t>Antes de publicar</w:t>
      </w:r>
    </w:p>
    <w:p>
      <w:pPr>
        <w:pStyle w:val="ListBullet"/>
        <w:spacing w:after="60"/>
      </w:pPr>
      <w:r>
        <w:t>Validar el significado y los matices de Taki con una persona hablante de kichwa.</w:t>
      </w:r>
    </w:p>
    <w:p>
      <w:pPr>
        <w:pStyle w:val="ListBullet"/>
        <w:spacing w:after="60"/>
      </w:pPr>
      <w:r>
        <w:t>Revisar disponibilidad de marca, nombre en tiendas, dominio y paquete de Android.</w:t>
      </w:r>
    </w:p>
    <w:p>
      <w:pPr>
        <w:pStyle w:val="ListBullet"/>
        <w:spacing w:after="60"/>
      </w:pPr>
      <w:r>
        <w:t>Confirmar cada promesa de offline, reconexión y compatibilidad con las APIs reales.</w:t>
      </w:r>
    </w:p>
    <w:p>
      <w:pPr>
        <w:pStyle w:val="ListBullet"/>
        <w:spacing w:after="60"/>
      </w:pPr>
      <w:r>
        <w:t>Probar icono y contraste en dispositivos, launchers y tamaños reales.</w:t>
      </w:r>
    </w:p>
    <w:p>
      <w:pPr>
        <w:pStyle w:val="ListBullet"/>
        <w:spacing w:after="60"/>
      </w:pPr>
      <w:r>
        <w:t>Definir licencia y modelo comercial sin bloquear la promesa básica de escucha.</w:t>
      </w:r>
    </w:p>
    <w:sectPr w:rsidR="00FC693F" w:rsidRPr="0006063C" w:rsidSect="00034616">
      <w:footerReference w:type="default" r:id="rId1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8AEA0"/>
        <w:sz w:val="16"/>
      </w:rPr>
      <w:t>TAKI · Identidad de marca · Borrador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528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90A0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90A0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090A08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00"/>
    </w:pPr>
    <w:rPr>
      <w:rFonts w:ascii="Arial" w:hAnsi="Arial"/>
      <w:b/>
      <w:color w:val="718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