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小车巡线方案技术说明</w:t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适用于设计报告第2项循迹行驶任务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b w:val="0"/>
          <w:sz w:val="21"/>
        </w:rPr>
        <w:t>本节围绕H题第2项要求展开：小车从A点按键启动后，沿黑色环形路线顺时针行驶一圈并停回A点，计时停止并显示总时间，目标为行驶总时间不超过20 s、停车偏差不超过2 cm。赛道由两段1.5 m直线和两段半径0.5 m半圆组成，黑线宽度为1.8±0.2 cm，循迹检测限定采用红外光电模块。</w:t>
      </w:r>
    </w:p>
    <w:p>
      <w:pPr>
        <w:pStyle w:val="Heading1"/>
        <w:spacing w:before="120" w:after="120"/>
      </w:pPr>
      <w:r>
        <w:rPr>
          <w:rFonts w:ascii="宋体" w:hAnsi="宋体" w:eastAsia="宋体"/>
          <w:b/>
          <w:sz w:val="28"/>
        </w:rPr>
        <w:t>2.2 小车循迹驱动方案选型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b w:val="0"/>
          <w:sz w:val="21"/>
        </w:rPr>
        <w:t>小车底盘采用双轮差速驱动结构，左右两侧各布置一只MG513X霍尔编码器减速电机，由TB6612双路电机驱动芯片输出PWM和方向控制信号。该结构机械组成简单、转向半径小，能够通过左右轮差速完成直线跟踪、圆弧转向、原地回正和末端低速停车，适合本题封闭环形黑线路径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b w:val="0"/>
          <w:sz w:val="21"/>
        </w:rPr>
        <w:t>循迹传感器选用LF04四路红外光电模块。模块输出为四路数字量，安装在车体前部并横向垂直于车身中心线，能够直接反映黑线相对车身中心的位置。与单路传感器相比，四路传感器可获得离散横向偏差信息；与摄像头循迹相比，其响应快、计算量小、抗实时性压力强，且符合题目对小车循迹模块只能使用红外光电模块的限制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b w:val="0"/>
          <w:sz w:val="21"/>
        </w:rPr>
        <w:t>控制方案采用“红外质心纠偏为主，编码器与IMU路线辅助为辅”的组合方式。LF04提供直接横向回线方向，编码器提供轮速闭环和行驶里程，ICM42688陀螺仪与编码器航向互补融合，用于圆弧段前馈和航向误差修正。这样既保留红外循迹对黑线位置的快速响应，又利用里程和航向信息提高整圈终点判断的稳定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3267"/>
            <w:vAlign w:val="center"/>
            <w:shd w:fill="D9EAF7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方案环节</w:t>
            </w:r>
          </w:p>
        </w:tc>
        <w:tc>
          <w:tcPr>
            <w:tcW w:type="dxa" w:w="3267"/>
            <w:vAlign w:val="center"/>
            <w:shd w:fill="D9EAF7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选型</w:t>
            </w:r>
          </w:p>
        </w:tc>
        <w:tc>
          <w:tcPr>
            <w:tcW w:type="dxa" w:w="3267"/>
            <w:vAlign w:val="center"/>
            <w:shd w:fill="D9EAF7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作用</w:t>
            </w:r>
          </w:p>
        </w:tc>
      </w:tr>
      <w:tr>
        <w:tc>
          <w:tcPr>
            <w:tcW w:type="dxa" w:w="3267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底盘形式</w:t>
            </w:r>
          </w:p>
        </w:tc>
        <w:tc>
          <w:tcPr>
            <w:tcW w:type="dxa" w:w="3267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双轮差速底盘</w:t>
            </w:r>
          </w:p>
        </w:tc>
        <w:tc>
          <w:tcPr>
            <w:tcW w:type="dxa" w:w="3267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通过左右轮速度差实现直行、转弯和原地回正</w:t>
            </w:r>
          </w:p>
        </w:tc>
      </w:tr>
      <w:tr>
        <w:tc>
          <w:tcPr>
            <w:tcW w:type="dxa" w:w="3267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电机驱动</w:t>
            </w:r>
          </w:p>
        </w:tc>
        <w:tc>
          <w:tcPr>
            <w:tcW w:type="dxa" w:w="3267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TB6612双路驱动</w:t>
            </w:r>
          </w:p>
        </w:tc>
        <w:tc>
          <w:tcPr>
            <w:tcW w:type="dxa" w:w="3267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分别控制左右轮PWM和方向</w:t>
            </w:r>
          </w:p>
        </w:tc>
      </w:tr>
      <w:tr>
        <w:tc>
          <w:tcPr>
            <w:tcW w:type="dxa" w:w="3267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轮速反馈</w:t>
            </w:r>
          </w:p>
        </w:tc>
        <w:tc>
          <w:tcPr>
            <w:tcW w:type="dxa" w:w="3267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MG513X霍尔编码器</w:t>
            </w:r>
          </w:p>
        </w:tc>
        <w:tc>
          <w:tcPr>
            <w:tcW w:type="dxa" w:w="3267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提供速度闭环、里程估算和停车进度判断</w:t>
            </w:r>
          </w:p>
        </w:tc>
      </w:tr>
      <w:tr>
        <w:tc>
          <w:tcPr>
            <w:tcW w:type="dxa" w:w="3267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循迹检测</w:t>
            </w:r>
          </w:p>
        </w:tc>
        <w:tc>
          <w:tcPr>
            <w:tcW w:type="dxa" w:w="3267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LF04四路红外光电模块</w:t>
            </w:r>
          </w:p>
        </w:tc>
        <w:tc>
          <w:tcPr>
            <w:tcW w:type="dxa" w:w="3267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检测黑线横向偏差，作为纠偏主输入</w:t>
            </w:r>
          </w:p>
        </w:tc>
      </w:tr>
      <w:tr>
        <w:tc>
          <w:tcPr>
            <w:tcW w:type="dxa" w:w="3267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姿态辅助</w:t>
            </w:r>
          </w:p>
        </w:tc>
        <w:tc>
          <w:tcPr>
            <w:tcW w:type="dxa" w:w="3267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ICM42688陀螺仪</w:t>
            </w:r>
          </w:p>
        </w:tc>
        <w:tc>
          <w:tcPr>
            <w:tcW w:type="dxa" w:w="3267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与编码器融合获得连续航向和角速度反馈</w:t>
            </w:r>
          </w:p>
        </w:tc>
      </w:tr>
    </w:tbl>
    <w:p/>
    <w:p>
      <w:pPr>
        <w:pStyle w:val="Heading1"/>
        <w:spacing w:before="120" w:after="120"/>
      </w:pPr>
      <w:r>
        <w:rPr>
          <w:rFonts w:ascii="宋体" w:hAnsi="宋体" w:eastAsia="宋体"/>
          <w:b/>
          <w:sz w:val="28"/>
        </w:rPr>
        <w:t>3.1 小车循迹控制理论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b w:val="0"/>
          <w:sz w:val="21"/>
        </w:rPr>
        <w:t>LF04四路探头从左到右对应的物理中心位置分别为-40.25 mm、-7.25 mm、+7.25 mm和+40.25 mm。模块固定为白底高电平、黑线低电平，软件每20 ms读取一次四路输入，并将检测到黑线的探头参与质心计算，而不是只判断“偏左”或“偏右”。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b w:val="0"/>
          <w:sz w:val="21"/>
        </w:rPr>
        <w:t>设检测到黑线的探头位置集合为xi，则黑线相对传感器中心的平均位置为 x_bar = average(xi)。归一化横向误差定义为：</w:t>
      </w:r>
    </w:p>
    <w:p>
      <w:pPr>
        <w:spacing w:line="300" w:lineRule="auto" w:after="80"/>
      </w:pPr>
      <w:r>
        <w:rPr>
          <w:rFonts w:ascii="宋体" w:hAnsi="宋体" w:eastAsia="宋体"/>
          <w:b w:val="0"/>
          <w:sz w:val="21"/>
        </w:rPr>
        <w:t>error = -x_bar / 40.25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b w:val="0"/>
          <w:sz w:val="21"/>
        </w:rPr>
        <w:t>当黑线位于左侧探头区域时，x_bar为负，error为正；控制器使左轮减速、右轮加速，小车向左修正。黑线位于右侧时误差为负，左右轮动作相反。若中间两路或四路同时检测到黑线，质心接近0，小车保持当前赛段给定速度直行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b w:val="0"/>
          <w:sz w:val="21"/>
        </w:rPr>
        <w:t>循迹控制采用PD控制器，控制周期为20 ms，参数为Kp=1.2、Ki=0、Kd=0.20。P项根据当前横向误差产生主要纠偏量，D项抑制误差快速变化导致的摆动；I项不启用，避免弯道和短时丢线时积分累积造成过度转向。首个有效样本会预置D项历史值，避免启动瞬间出现微分冲击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b w:val="0"/>
          <w:sz w:val="21"/>
        </w:rPr>
        <w:t>PD输出限制在±1内，再按当前速度换算为左右轮速度偏置bias。普通位型采用中心速度的22%作为纠偏比例，且总偏置不超过90 mm/s；最外侧单探头B1或B8说明车身偏离较大，采用35%纠偏比例，偏置上限提高到120 mm/s。左右轮速度命令为：</w:t>
      </w:r>
    </w:p>
    <w:p>
      <w:pPr>
        <w:spacing w:line="300" w:lineRule="auto" w:after="80"/>
      </w:pPr>
      <w:r>
        <w:rPr>
          <w:rFonts w:ascii="宋体" w:hAnsi="宋体" w:eastAsia="宋体"/>
          <w:b w:val="0"/>
          <w:sz w:val="21"/>
        </w:rPr>
        <w:t>left_speed = v - bias，right_speed = v + bias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b w:val="0"/>
          <w:sz w:val="21"/>
        </w:rPr>
        <w:t>其中v为赛段请求中心速度。bias为正时左轮减速、右轮加速；bias为负时右轮减速、左轮加速。所有轮速命令最终仍受500 mm/s轮速上限和电机PWM硬限幅约束。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b w:val="0"/>
          <w:sz w:val="21"/>
        </w:rPr>
        <w:t>正式整圈竞速还引入赛道几何辅助。赛道理论长度为2×1500 + 2π×500 = 6141.6 mm，编码器里程用于判断AB直线、BC半圆、CD直线和DA半圆四个赛段。直线段期望角速度为0，半圆段按omega = v / 500生成顺时针前馈角速度；融合航向与期望航向之间的误差再由比例环修正，航向修正限幅为±0.35 rad/s。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b w:val="0"/>
          <w:sz w:val="21"/>
        </w:rPr>
        <w:t>融合仲裁遵循红外优先原则：当LF04输出非零纠偏时，编码器/IMU产生的路线前馈和航向反馈只能在同方向上叠加增强，不允许抵消或反转红外回线方向；当红外质心居中时，路线前馈和航向反馈正常接管。这样可避免弯道前馈与红外实际检测结果冲突，提高车辆投影始终保持在黑线轨迹上的可靠性。</w:t>
      </w:r>
    </w:p>
    <w:p>
      <w:pPr>
        <w:pStyle w:val="Heading1"/>
        <w:spacing w:before="120" w:after="120"/>
      </w:pPr>
      <w:r>
        <w:rPr>
          <w:rFonts w:ascii="宋体" w:hAnsi="宋体" w:eastAsia="宋体"/>
          <w:b/>
          <w:sz w:val="28"/>
        </w:rPr>
        <w:t>4.2 循迹硬件电路设计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b w:val="0"/>
          <w:sz w:val="21"/>
        </w:rPr>
        <w:t>LF04模块使用3.3 V供电，GND与主控、电机驱动和编码器共地。四路输出接入MSPM0G3507普通GPIO输入，并开启内部上拉。根据实车接线，四路从左到右分别接PA31、PA12、PB8和PA27。由于MSPM0普通I/O不能承受5 V输入，LF04输出高电平必须限制在3.3 V范围内。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b w:val="0"/>
          <w:sz w:val="21"/>
        </w:rPr>
        <w:t>模块安装时要求探头阵列与车身中心线垂直，且传感器中心尽量与车辆纵向中心线重合。这样质心误差的符号和大小才能准确对应车辆相对黑线的横向偏移。调试时OLED显示原始电平R、期望白底W和归一化黑线位B，用于确认白底为RF、黑线覆盖四路时分别得到B1、B2、B4、B8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60"/>
        <w:gridCol w:w="1960"/>
        <w:gridCol w:w="1960"/>
        <w:gridCol w:w="1960"/>
        <w:gridCol w:w="1960"/>
      </w:tblGrid>
      <w:tr>
        <w:tc>
          <w:tcPr>
            <w:tcW w:type="dxa" w:w="1960"/>
            <w:vAlign w:val="center"/>
            <w:shd w:fill="D9EAF7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LF04通道</w:t>
            </w:r>
          </w:p>
        </w:tc>
        <w:tc>
          <w:tcPr>
            <w:tcW w:type="dxa" w:w="1960"/>
            <w:vAlign w:val="center"/>
            <w:shd w:fill="D9EAF7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安装位置</w:t>
            </w:r>
          </w:p>
        </w:tc>
        <w:tc>
          <w:tcPr>
            <w:tcW w:type="dxa" w:w="1960"/>
            <w:vAlign w:val="center"/>
            <w:shd w:fill="D9EAF7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MCU引脚</w:t>
            </w:r>
          </w:p>
        </w:tc>
        <w:tc>
          <w:tcPr>
            <w:tcW w:type="dxa" w:w="1960"/>
            <w:vAlign w:val="center"/>
            <w:shd w:fill="D9EAF7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黑线位型</w:t>
            </w:r>
          </w:p>
        </w:tc>
        <w:tc>
          <w:tcPr>
            <w:tcW w:type="dxa" w:w="1960"/>
            <w:vAlign w:val="center"/>
            <w:shd w:fill="D9EAF7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O1</w:t>
            </w:r>
          </w:p>
        </w:tc>
        <w:tc>
          <w:tcPr>
            <w:tcW w:type="dxa" w:w="1960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最左侧 -40.25 mm</w:t>
            </w:r>
          </w:p>
        </w:tc>
        <w:tc>
          <w:tcPr>
            <w:tcW w:type="dxa" w:w="1960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PA31</w:t>
            </w:r>
          </w:p>
        </w:tc>
        <w:tc>
          <w:tcPr>
            <w:tcW w:type="dxa" w:w="1960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B1</w:t>
            </w:r>
          </w:p>
        </w:tc>
        <w:tc>
          <w:tcPr>
            <w:tcW w:type="dxa" w:w="1960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检测到左侧黑线时产生正误差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O2</w:t>
            </w:r>
          </w:p>
        </w:tc>
        <w:tc>
          <w:tcPr>
            <w:tcW w:type="dxa" w:w="1960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左中 -7.25 mm</w:t>
            </w:r>
          </w:p>
        </w:tc>
        <w:tc>
          <w:tcPr>
            <w:tcW w:type="dxa" w:w="1960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PA12</w:t>
            </w:r>
          </w:p>
        </w:tc>
        <w:tc>
          <w:tcPr>
            <w:tcW w:type="dxa" w:w="1960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B2</w:t>
            </w:r>
          </w:p>
        </w:tc>
        <w:tc>
          <w:tcPr>
            <w:tcW w:type="dxa" w:w="1960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接近中心左侧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O3</w:t>
            </w:r>
          </w:p>
        </w:tc>
        <w:tc>
          <w:tcPr>
            <w:tcW w:type="dxa" w:w="1960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右中 +7.25 mm</w:t>
            </w:r>
          </w:p>
        </w:tc>
        <w:tc>
          <w:tcPr>
            <w:tcW w:type="dxa" w:w="1960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PB8</w:t>
            </w:r>
          </w:p>
        </w:tc>
        <w:tc>
          <w:tcPr>
            <w:tcW w:type="dxa" w:w="1960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B4</w:t>
            </w:r>
          </w:p>
        </w:tc>
        <w:tc>
          <w:tcPr>
            <w:tcW w:type="dxa" w:w="1960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接近中心右侧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O4</w:t>
            </w:r>
          </w:p>
        </w:tc>
        <w:tc>
          <w:tcPr>
            <w:tcW w:type="dxa" w:w="1960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最右侧 +40.25 mm</w:t>
            </w:r>
          </w:p>
        </w:tc>
        <w:tc>
          <w:tcPr>
            <w:tcW w:type="dxa" w:w="1960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PA27</w:t>
            </w:r>
          </w:p>
        </w:tc>
        <w:tc>
          <w:tcPr>
            <w:tcW w:type="dxa" w:w="1960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B8</w:t>
            </w:r>
          </w:p>
        </w:tc>
        <w:tc>
          <w:tcPr>
            <w:tcW w:type="dxa" w:w="1960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检测到右侧黑线时产生负误差</w:t>
            </w:r>
          </w:p>
        </w:tc>
      </w:tr>
    </w:tbl>
    <w:p/>
    <w:p>
      <w:pPr>
        <w:pStyle w:val="Heading1"/>
        <w:spacing w:before="120" w:after="120"/>
      </w:pPr>
      <w:r>
        <w:rPr>
          <w:rFonts w:ascii="宋体" w:hAnsi="宋体" w:eastAsia="宋体"/>
          <w:b/>
          <w:sz w:val="28"/>
        </w:rPr>
        <w:t>4.3 软件程序设计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b w:val="0"/>
          <w:sz w:val="21"/>
        </w:rPr>
        <w:t>软件采用非阻塞状态机结构。上电后先完成IMU静止校准和LF04白底稳定检查，确认四路红外在白底上连续稳定为高电平后进入READY状态。按下中键后，程序将当前编码器里程和融合航向定义为A点零位，同时启动计时和RAM遥测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b w:val="0"/>
          <w:sz w:val="21"/>
        </w:rPr>
        <w:t>运行过程中，主循环以20 ms周期完成“采样-任务规划-循迹仲裁-轮速闭环”的流程。首先读取LF04并计算黑线质心误差；然后根据编码器进度生成当前赛段的目标中心速度、期望航向和圆弧前馈；再将红外纠偏、路线前馈和航向反馈按红外优先原则合成为最终轮差；最后调用底盘速度接口更新左右轮目标速度，由左右轮独立PID闭环输出PWM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b w:val="0"/>
          <w:sz w:val="21"/>
        </w:rPr>
        <w:t>对于丢线状态B0，程序不立即停车，而是保持最后一次确认的有效误差和增强状态，直到任意探头重新检测到黑线。这样可以跨过短暂反光、接缝或启停横线造成的瞬时空白。若新检测方向与上一确认方向直接相反，首个周期先抑制为0，连续第二个同向样本才接受，减少因边沿抖动造成的反向猛打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b w:val="0"/>
          <w:sz w:val="21"/>
        </w:rPr>
        <w:t>A点停车不直接依赖启停横线的红外位型。整圈终点采用编码器进度和融合航向双门判断：末段先根据剩余距离降到低速，随后在接近A点时同时满足距离门和约360°航向门才进入制动。停车后检测左右轮速度连续低于阈值，再执行短时原地回正，使车身方向接近起点方向，最后停止计时并显示总时间和估算停车误差。</w:t>
      </w:r>
    </w:p>
    <w:p>
      <w:pPr>
        <w:pStyle w:val="Heading1"/>
        <w:spacing w:before="120" w:after="120"/>
      </w:pPr>
      <w:r>
        <w:rPr>
          <w:rFonts w:ascii="宋体" w:hAnsi="宋体" w:eastAsia="宋体"/>
          <w:b/>
          <w:sz w:val="28"/>
        </w:rPr>
        <w:t>5.1 测试仪器与测试方法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b w:val="0"/>
          <w:sz w:val="21"/>
        </w:rPr>
        <w:t>巡线部分测试主要验证三个方面：红外位型是否正确、闭环循迹是否稳定、整圈停车是否满足时间和位置要求。测试仪器包括白底黑线赛道、卷尺或钢尺、秒表或车载OLED计时、3.3 V TTL串口模块、上位机串口工具以及必要时的视频记录设备。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b w:val="0"/>
          <w:sz w:val="21"/>
        </w:rPr>
        <w:t>测试前先断开12 V电机电源，只给逻辑电路供电，检查LF04在白底上显示RF/WF/B0，并依次覆盖四个探头，确认归一化位型依次为B1、B2、B4、B8。随后架空接通12 V，确认左右轮方向、编码器计数和中键急停正常，再进行低速纯LF04循迹测试。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b w:val="0"/>
          <w:sz w:val="21"/>
        </w:rPr>
        <w:t>地面测试按60、120、200、280、350 mm/s逐级提高速度，先短距离确认纠偏方向，再完成整圈。正式竞速测试时，将小车指定测试点置于A点基准线，车头对准AB顺时针方向，按中键启动并记录总时间、停车偏差和是否脱线。每次停车后保持5 V不断电，通过UART0导出CSV，分析line_bits、line_correction_mm_s、mission_progress_mm、fused_heading_deg和final_steering_bias_mm_s等数据。</w:t>
      </w:r>
    </w:p>
    <w:p>
      <w:pPr>
        <w:pStyle w:val="Heading1"/>
        <w:spacing w:before="120" w:after="120"/>
      </w:pPr>
      <w:r>
        <w:rPr>
          <w:rFonts w:ascii="宋体" w:hAnsi="宋体" w:eastAsia="宋体"/>
          <w:b/>
          <w:sz w:val="28"/>
        </w:rPr>
        <w:t>5.2 测试结果与误差分析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b w:val="0"/>
          <w:sz w:val="21"/>
        </w:rPr>
        <w:t>测试结果应重点记录总时间、A点停车偏差、是否全程投影保持在线上、是否出现B0丢线保持、左右轮PWM是否接近限幅、融合航向是否连续。若总时间超限，应优先检查直线和弯道目标速度、加速度设置以及是否存在频繁大幅纠偏；若停车偏差超出2 cm，应优先校准轮径、有效轮距、终点参考进度和低速制动提前量，不宜通过提高巡线增益掩盖机械比例误差。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b w:val="0"/>
          <w:sz w:val="21"/>
        </w:rPr>
        <w:t>若直线段左右摆动明显，通常说明PD参数过大或传感器安装高度、中心位置不合适，可降低D项或重新调整LF04安装位置。若弯道入口脱线，应检查最外侧单探头增强是否生效，以及路线前馈方向是否与红外纠偏方向一致。若CSV显示长时间B0且车辆仍持续偏离，应检查黑线对比度、传感器离地高度、车速是否过高以及赛道接缝处反光情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3267"/>
            <w:vAlign w:val="center"/>
            <w:shd w:fill="D9EAF7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测试项目</w:t>
            </w:r>
          </w:p>
        </w:tc>
        <w:tc>
          <w:tcPr>
            <w:tcW w:type="dxa" w:w="3267"/>
            <w:vAlign w:val="center"/>
            <w:shd w:fill="D9EAF7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记录内容</w:t>
            </w:r>
          </w:p>
        </w:tc>
        <w:tc>
          <w:tcPr>
            <w:tcW w:type="dxa" w:w="3267"/>
            <w:vAlign w:val="center"/>
            <w:shd w:fill="D9EAF7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合格判据/分析重点</w:t>
            </w:r>
          </w:p>
        </w:tc>
      </w:tr>
      <w:tr>
        <w:tc>
          <w:tcPr>
            <w:tcW w:type="dxa" w:w="3267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红外静态检查</w:t>
            </w:r>
          </w:p>
        </w:tc>
        <w:tc>
          <w:tcPr>
            <w:tcW w:type="dxa" w:w="3267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R/W/B位型、四路覆盖结果</w:t>
            </w:r>
          </w:p>
        </w:tc>
        <w:tc>
          <w:tcPr>
            <w:tcW w:type="dxa" w:w="3267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白底RF/WF/B0，覆盖四路依次得到B1/B2/B4/B8</w:t>
            </w:r>
          </w:p>
        </w:tc>
      </w:tr>
      <w:tr>
        <w:tc>
          <w:tcPr>
            <w:tcW w:type="dxa" w:w="3267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低速循迹</w:t>
            </w:r>
          </w:p>
        </w:tc>
        <w:tc>
          <w:tcPr>
            <w:tcW w:type="dxa" w:w="3267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纠偏方向、是否脱线、B0恢复情况</w:t>
            </w:r>
          </w:p>
        </w:tc>
        <w:tc>
          <w:tcPr>
            <w:tcW w:type="dxa" w:w="3267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偏左向左修正，偏右向右修正，无反向猛打</w:t>
            </w:r>
          </w:p>
        </w:tc>
      </w:tr>
      <w:tr>
        <w:tc>
          <w:tcPr>
            <w:tcW w:type="dxa" w:w="3267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正式整圈</w:t>
            </w:r>
          </w:p>
        </w:tc>
        <w:tc>
          <w:tcPr>
            <w:tcW w:type="dxa" w:w="3267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总时间、停车偏差、是否通过A点</w:t>
            </w:r>
          </w:p>
        </w:tc>
        <w:tc>
          <w:tcPr>
            <w:tcW w:type="dxa" w:w="3267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总时间≤20 s，停车偏差≤2 cm</w:t>
            </w:r>
          </w:p>
        </w:tc>
      </w:tr>
      <w:tr>
        <w:tc>
          <w:tcPr>
            <w:tcW w:type="dxa" w:w="3267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CSV分析</w:t>
            </w:r>
          </w:p>
        </w:tc>
        <w:tc>
          <w:tcPr>
            <w:tcW w:type="dxa" w:w="3267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纠偏量、航向、轮速、PWM</w:t>
            </w:r>
          </w:p>
        </w:tc>
        <w:tc>
          <w:tcPr>
            <w:tcW w:type="dxa" w:w="3267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航向连续，纠偏不过度饱和，PWM未长期顶限</w:t>
            </w:r>
          </w:p>
        </w:tc>
      </w:tr>
    </w:tbl>
    <w:p/>
    <w:p>
      <w:pPr>
        <w:pStyle w:val="Heading1"/>
        <w:spacing w:before="120" w:after="120"/>
      </w:pPr>
      <w:r>
        <w:rPr>
          <w:rFonts w:ascii="宋体" w:hAnsi="宋体" w:eastAsia="宋体"/>
          <w:b/>
          <w:sz w:val="28"/>
        </w:rPr>
        <w:t>巡线部分小结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b w:val="0"/>
          <w:sz w:val="21"/>
        </w:rPr>
        <w:t>本方案以LF04四路红外模块作为循迹主传感器，通过质心法获得离散横向偏差，并以20 ms PD控制生成左右轮差速。编码器和ICM42688不替代红外循迹，而是用于赛段进度、圆弧前馈、航向反馈和A点停车双门判定。该方案结构清晰、计算量小、调试数据可导出，能够针对题目第2项的整圈循迹、计时显示和A点停车要求进行分阶段验证。</w:t>
      </w:r>
    </w:p>
    <w:sectPr w:rsidR="00FC693F" w:rsidRPr="0006063C" w:rsidSect="00034616">
      <w:pgSz w:w="12240" w:h="15840"/>
      <w:pgMar w:top="1247" w:right="113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