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F172C">
      <w:pPr>
        <w:jc w:val="center"/>
        <w:rPr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广西科技师范学院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>嵌入式基础综合实训报告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</w:t>
      </w:r>
      <w:r>
        <w:rPr>
          <w:rFonts w:hint="eastAsia" w:ascii="黑体" w:hAnsi="黑体" w:eastAsia="黑体" w:cs="黑体"/>
          <w:color w:val="000000"/>
          <w:sz w:val="44"/>
          <w:szCs w:val="32"/>
          <w:u w:val="single"/>
        </w:rPr>
        <w:t xml:space="preserve"> </w:t>
      </w:r>
      <w:r>
        <w:rPr>
          <w:rFonts w:hint="eastAsia" w:ascii="黑体" w:hAnsi="黑体" w:eastAsia="黑体" w:cs="黑体"/>
          <w:sz w:val="44"/>
          <w:szCs w:val="44"/>
        </w:rPr>
        <w:t>实验报告</w:t>
      </w:r>
    </w:p>
    <w:p w14:paraId="614ED6AC"/>
    <w:tbl>
      <w:tblPr>
        <w:tblStyle w:val="12"/>
        <w:tblW w:w="980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337"/>
        <w:gridCol w:w="540"/>
        <w:gridCol w:w="257"/>
        <w:gridCol w:w="617"/>
        <w:gridCol w:w="103"/>
        <w:gridCol w:w="437"/>
        <w:gridCol w:w="718"/>
        <w:gridCol w:w="540"/>
        <w:gridCol w:w="387"/>
        <w:gridCol w:w="3678"/>
      </w:tblGrid>
      <w:tr w14:paraId="5B66C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188" w:type="dxa"/>
            <w:vAlign w:val="center"/>
          </w:tcPr>
          <w:p w14:paraId="2DA479C1">
            <w:pPr>
              <w:jc w:val="center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549" w:type="dxa"/>
            <w:gridSpan w:val="8"/>
            <w:tcBorders>
              <w:bottom w:val="single" w:color="auto" w:sz="4" w:space="0"/>
            </w:tcBorders>
            <w:vAlign w:val="center"/>
          </w:tcPr>
          <w:p w14:paraId="5E9CA4B7">
            <w:pPr>
              <w:widowControl/>
              <w:tabs>
                <w:tab w:val="right" w:pos="4333"/>
              </w:tabs>
              <w:ind w:right="1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基础实训</w:t>
            </w:r>
          </w:p>
        </w:tc>
        <w:tc>
          <w:tcPr>
            <w:tcW w:w="387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1546C279">
            <w:pPr>
              <w:jc w:val="center"/>
            </w:pPr>
          </w:p>
        </w:tc>
        <w:tc>
          <w:tcPr>
            <w:tcW w:w="3678" w:type="dxa"/>
            <w:vMerge w:val="restart"/>
            <w:tcBorders>
              <w:left w:val="single" w:color="auto" w:sz="4" w:space="0"/>
            </w:tcBorders>
          </w:tcPr>
          <w:p w14:paraId="1C99E557">
            <w:r>
              <w:rPr>
                <w:rFonts w:hint="eastAsia"/>
              </w:rPr>
              <w:t>指导意见：</w:t>
            </w:r>
          </w:p>
          <w:p w14:paraId="1F371448"/>
          <w:p w14:paraId="052236E4"/>
          <w:p w14:paraId="254EA695"/>
          <w:p w14:paraId="4ED0C59E"/>
          <w:p w14:paraId="588A71AC">
            <w:r>
              <w:rPr>
                <w:rFonts w:hint="eastAsia"/>
              </w:rPr>
              <w:t xml:space="preserve">                              </w:t>
            </w:r>
          </w:p>
          <w:p w14:paraId="1074277E">
            <w:pPr>
              <w:spacing w:line="360" w:lineRule="auto"/>
            </w:pPr>
            <w:r>
              <w:rPr>
                <w:rFonts w:hint="eastAsia"/>
              </w:rPr>
              <w:t>成绩：</w:t>
            </w:r>
          </w:p>
          <w:p w14:paraId="325F8D88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指导教师： </w:t>
            </w:r>
            <w:r>
              <w:rPr>
                <w:rFonts w:hint="eastAsia"/>
                <w:lang w:val="en-US" w:eastAsia="zh-CN"/>
              </w:rPr>
              <w:t>韦雷福</w:t>
            </w:r>
          </w:p>
        </w:tc>
      </w:tr>
      <w:tr w14:paraId="5507E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188" w:type="dxa"/>
            <w:vAlign w:val="center"/>
          </w:tcPr>
          <w:p w14:paraId="649535AB">
            <w:pPr>
              <w:jc w:val="center"/>
            </w:pPr>
            <w:r>
              <w:rPr>
                <w:rFonts w:hint="eastAsia"/>
              </w:rPr>
              <w:t>学    院</w:t>
            </w:r>
          </w:p>
        </w:tc>
        <w:tc>
          <w:tcPr>
            <w:tcW w:w="213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FF29BA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GXIBVC</w:t>
            </w:r>
          </w:p>
        </w:tc>
        <w:tc>
          <w:tcPr>
            <w:tcW w:w="720" w:type="dxa"/>
            <w:gridSpan w:val="2"/>
            <w:tcBorders>
              <w:top w:val="single" w:color="auto" w:sz="4" w:space="0"/>
            </w:tcBorders>
            <w:vAlign w:val="center"/>
          </w:tcPr>
          <w:p w14:paraId="661FF714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6C3952">
            <w:pPr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LOT</w:t>
            </w:r>
          </w:p>
        </w:tc>
        <w:tc>
          <w:tcPr>
            <w:tcW w:w="387" w:type="dxa"/>
            <w:vMerge w:val="continue"/>
            <w:tcBorders>
              <w:right w:val="single" w:color="auto" w:sz="4" w:space="0"/>
            </w:tcBorders>
            <w:vAlign w:val="center"/>
          </w:tcPr>
          <w:p w14:paraId="658E94FE">
            <w:pPr>
              <w:jc w:val="center"/>
            </w:pPr>
          </w:p>
        </w:tc>
        <w:tc>
          <w:tcPr>
            <w:tcW w:w="3678" w:type="dxa"/>
            <w:vMerge w:val="continue"/>
            <w:tcBorders>
              <w:left w:val="single" w:color="auto" w:sz="4" w:space="0"/>
            </w:tcBorders>
          </w:tcPr>
          <w:p w14:paraId="321BE549"/>
        </w:tc>
      </w:tr>
      <w:tr w14:paraId="411F1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188" w:type="dxa"/>
            <w:vAlign w:val="center"/>
          </w:tcPr>
          <w:p w14:paraId="5D68DF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4549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4777DA">
            <w:pPr>
              <w:jc w:val="center"/>
              <w:rPr>
                <w:rFonts w:hint="eastAsia" w:eastAsia="宋体"/>
                <w:lang w:val="en-US" w:eastAsia="zh-CN"/>
              </w:rPr>
            </w:pPr>
          </w:p>
          <w:p w14:paraId="4EF837E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SIMPLE</w:t>
            </w:r>
            <w:bookmarkStart w:id="0" w:name="_GoBack"/>
            <w:bookmarkEnd w:id="0"/>
          </w:p>
        </w:tc>
        <w:tc>
          <w:tcPr>
            <w:tcW w:w="387" w:type="dxa"/>
            <w:vMerge w:val="continue"/>
            <w:tcBorders>
              <w:right w:val="single" w:color="auto" w:sz="4" w:space="0"/>
            </w:tcBorders>
            <w:vAlign w:val="center"/>
          </w:tcPr>
          <w:p w14:paraId="6D20409B">
            <w:pPr>
              <w:jc w:val="center"/>
            </w:pPr>
          </w:p>
        </w:tc>
        <w:tc>
          <w:tcPr>
            <w:tcW w:w="3678" w:type="dxa"/>
            <w:vMerge w:val="continue"/>
            <w:tcBorders>
              <w:left w:val="single" w:color="auto" w:sz="4" w:space="0"/>
            </w:tcBorders>
          </w:tcPr>
          <w:p w14:paraId="25A919CD"/>
        </w:tc>
      </w:tr>
      <w:tr w14:paraId="32B95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188" w:type="dxa"/>
            <w:vAlign w:val="center"/>
          </w:tcPr>
          <w:p w14:paraId="64E92F54">
            <w:pPr>
              <w:jc w:val="center"/>
            </w:pPr>
            <w:r>
              <w:rPr>
                <w:rFonts w:hint="eastAsia"/>
              </w:rPr>
              <w:t>同作者</w:t>
            </w:r>
          </w:p>
        </w:tc>
        <w:tc>
          <w:tcPr>
            <w:tcW w:w="4549" w:type="dxa"/>
            <w:gridSpan w:val="8"/>
            <w:tcBorders>
              <w:bottom w:val="single" w:color="auto" w:sz="4" w:space="0"/>
            </w:tcBorders>
            <w:vAlign w:val="center"/>
          </w:tcPr>
          <w:p w14:paraId="711E134C">
            <w:r>
              <w:rPr>
                <w:rFonts w:hint="eastAsia"/>
              </w:rPr>
              <w:t>无</w:t>
            </w:r>
          </w:p>
        </w:tc>
        <w:tc>
          <w:tcPr>
            <w:tcW w:w="387" w:type="dxa"/>
            <w:vMerge w:val="continue"/>
            <w:tcBorders>
              <w:right w:val="single" w:color="auto" w:sz="4" w:space="0"/>
            </w:tcBorders>
            <w:vAlign w:val="center"/>
          </w:tcPr>
          <w:p w14:paraId="07976031">
            <w:pPr>
              <w:jc w:val="center"/>
            </w:pPr>
          </w:p>
        </w:tc>
        <w:tc>
          <w:tcPr>
            <w:tcW w:w="3678" w:type="dxa"/>
            <w:vMerge w:val="continue"/>
            <w:tcBorders>
              <w:left w:val="single" w:color="auto" w:sz="4" w:space="0"/>
            </w:tcBorders>
          </w:tcPr>
          <w:p w14:paraId="0898B17B"/>
        </w:tc>
      </w:tr>
      <w:tr w14:paraId="1B1DA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188" w:type="dxa"/>
            <w:vAlign w:val="center"/>
          </w:tcPr>
          <w:p w14:paraId="22344A0B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E70F94">
            <w:pPr>
              <w:jc w:val="center"/>
              <w:rPr>
                <w:rFonts w:hint="eastAsia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</w:rPr>
              <w:t>202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5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</w:tcBorders>
            <w:vAlign w:val="center"/>
          </w:tcPr>
          <w:p w14:paraId="019F2148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年</w:t>
            </w:r>
          </w:p>
        </w:tc>
        <w:tc>
          <w:tcPr>
            <w:tcW w:w="874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53D7D2A9">
            <w:pPr>
              <w:jc w:val="center"/>
              <w:rPr>
                <w:rFonts w:hint="eastAsia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4</w:t>
            </w:r>
          </w:p>
        </w:tc>
        <w:tc>
          <w:tcPr>
            <w:tcW w:w="540" w:type="dxa"/>
            <w:gridSpan w:val="2"/>
            <w:tcBorders>
              <w:top w:val="single" w:color="auto" w:sz="4" w:space="0"/>
              <w:left w:val="nil"/>
            </w:tcBorders>
            <w:vAlign w:val="center"/>
          </w:tcPr>
          <w:p w14:paraId="74F5CD4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月</w:t>
            </w:r>
          </w:p>
        </w:tc>
        <w:tc>
          <w:tcPr>
            <w:tcW w:w="718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34B398C3">
            <w:pPr>
              <w:jc w:val="center"/>
              <w:rPr>
                <w:rFonts w:hint="eastAsia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</w:rPr>
              <w:t>2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6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</w:tcBorders>
            <w:vAlign w:val="center"/>
          </w:tcPr>
          <w:p w14:paraId="2C33B092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387" w:type="dxa"/>
            <w:vMerge w:val="continue"/>
            <w:tcBorders>
              <w:right w:val="single" w:color="auto" w:sz="4" w:space="0"/>
            </w:tcBorders>
            <w:vAlign w:val="center"/>
          </w:tcPr>
          <w:p w14:paraId="2DC49B9C">
            <w:pPr>
              <w:wordWrap w:val="0"/>
              <w:ind w:left="57"/>
              <w:jc w:val="right"/>
            </w:pPr>
          </w:p>
        </w:tc>
        <w:tc>
          <w:tcPr>
            <w:tcW w:w="3678" w:type="dxa"/>
            <w:vMerge w:val="continue"/>
            <w:tcBorders>
              <w:left w:val="single" w:color="auto" w:sz="4" w:space="0"/>
            </w:tcBorders>
          </w:tcPr>
          <w:p w14:paraId="18F84626"/>
        </w:tc>
      </w:tr>
      <w:tr w14:paraId="1FB53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188" w:type="dxa"/>
            <w:tcBorders>
              <w:bottom w:val="double" w:color="auto" w:sz="4" w:space="0"/>
            </w:tcBorders>
            <w:vAlign w:val="center"/>
          </w:tcPr>
          <w:p w14:paraId="2825783C">
            <w:pPr>
              <w:jc w:val="center"/>
            </w:pPr>
          </w:p>
        </w:tc>
        <w:tc>
          <w:tcPr>
            <w:tcW w:w="4549" w:type="dxa"/>
            <w:gridSpan w:val="8"/>
            <w:tcBorders>
              <w:bottom w:val="double" w:color="auto" w:sz="4" w:space="0"/>
            </w:tcBorders>
            <w:vAlign w:val="center"/>
          </w:tcPr>
          <w:p w14:paraId="24BE72F8">
            <w:pPr>
              <w:jc w:val="center"/>
            </w:pPr>
          </w:p>
        </w:tc>
        <w:tc>
          <w:tcPr>
            <w:tcW w:w="387" w:type="dxa"/>
            <w:vMerge w:val="continue"/>
            <w:tcBorders>
              <w:bottom w:val="double" w:color="auto" w:sz="4" w:space="0"/>
              <w:right w:val="single" w:color="auto" w:sz="4" w:space="0"/>
            </w:tcBorders>
            <w:vAlign w:val="center"/>
          </w:tcPr>
          <w:p w14:paraId="6166A880">
            <w:pPr>
              <w:jc w:val="center"/>
            </w:pPr>
          </w:p>
        </w:tc>
        <w:tc>
          <w:tcPr>
            <w:tcW w:w="3678" w:type="dxa"/>
            <w:vMerge w:val="continue"/>
            <w:tcBorders>
              <w:left w:val="single" w:color="auto" w:sz="4" w:space="0"/>
              <w:bottom w:val="double" w:color="auto" w:sz="4" w:space="0"/>
            </w:tcBorders>
          </w:tcPr>
          <w:p w14:paraId="3FB5490A"/>
        </w:tc>
      </w:tr>
    </w:tbl>
    <w:p w14:paraId="6378E954">
      <w:pPr>
        <w:widowControl/>
        <w:spacing w:after="25" w:line="268" w:lineRule="auto"/>
        <w:jc w:val="left"/>
        <w:textAlignment w:val="baseline"/>
        <w:rPr>
          <w:rFonts w:ascii="宋体" w:hAnsi="宋体" w:cs="宋体"/>
          <w:b/>
          <w:bCs/>
          <w:color w:val="000000"/>
          <w:sz w:val="24"/>
        </w:rPr>
      </w:pPr>
    </w:p>
    <w:p w14:paraId="462F07B1">
      <w:pPr>
        <w:widowControl/>
        <w:numPr>
          <w:ilvl w:val="0"/>
          <w:numId w:val="1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</w:rPr>
        <w:t>实验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目标</w:t>
      </w:r>
    </w:p>
    <w:p w14:paraId="13CA575B">
      <w:pPr>
        <w:widowControl/>
        <w:numPr>
          <w:ilvl w:val="0"/>
          <w:numId w:val="0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1、开机后，嗡鸣器关、LED灯关；LCD显示：“初始化完成”。</w:t>
      </w:r>
    </w:p>
    <w:p w14:paraId="245870ED">
      <w:pPr>
        <w:widowControl/>
        <w:numPr>
          <w:ilvl w:val="0"/>
          <w:numId w:val="0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2、key1按一下LED开，再按LED关，双击LED闪烁；LCD显示LED状态</w:t>
      </w:r>
    </w:p>
    <w:p w14:paraId="42F2128D">
      <w:pPr>
        <w:widowControl/>
        <w:numPr>
          <w:ilvl w:val="0"/>
          <w:numId w:val="0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3、Key2按一下嗡鸣器开，再按嗡鸣器关，双击嗡鸣器闪鸣；LCD显示beep状态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4、key3控制LED闪烁频率，当LED闪烁时起效，设3种闪烁频率；LCD显示频闪频率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5、key4控制嗡鸣器闪鸣频率，规则同上；LCD显示闪鸣频率</w:t>
      </w:r>
    </w:p>
    <w:p w14:paraId="3A617CEB">
      <w:pPr>
        <w:widowControl/>
        <w:numPr>
          <w:ilvl w:val="0"/>
          <w:numId w:val="0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6、key5完全关闭嗡鸣器和LED。LCD显示：”初始化完成”</w:t>
      </w:r>
    </w:p>
    <w:p w14:paraId="25F0FE6E">
      <w:pPr>
        <w:widowControl/>
        <w:numPr>
          <w:ilvl w:val="0"/>
          <w:numId w:val="0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7、完成实训报告（两个任务实训报告合并在一起）</w:t>
      </w:r>
    </w:p>
    <w:p w14:paraId="1B523202">
      <w:pPr>
        <w:widowControl/>
        <w:numPr>
          <w:ilvl w:val="0"/>
          <w:numId w:val="0"/>
        </w:numPr>
        <w:spacing w:after="25" w:line="268" w:lineRule="auto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</w:p>
    <w:p w14:paraId="69ACB0F7">
      <w:pPr>
        <w:widowControl/>
        <w:numPr>
          <w:ilvl w:val="0"/>
          <w:numId w:val="1"/>
        </w:numPr>
        <w:spacing w:after="25" w:line="268" w:lineRule="auto"/>
        <w:ind w:left="0" w:leftChars="0" w:firstLine="0" w:firstLineChars="0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方案设计</w:t>
      </w:r>
    </w:p>
    <w:p w14:paraId="72C140B7">
      <w:pPr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成员分工：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张仕蓁代码编写，罗庆福烧录测试功能调试，韦柏针报告撰写。</w:t>
      </w:r>
    </w:p>
    <w:p w14:paraId="7E70E19F">
      <w:pPr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实现方法</w:t>
      </w: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：</w:t>
      </w:r>
    </w:p>
    <w:p w14:paraId="0C2A5D1D">
      <w:pPr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（1）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硬件</w:t>
      </w:r>
    </w:p>
    <w:p w14:paraId="382A0964">
      <w:pPr>
        <w:widowControl/>
        <w:numPr>
          <w:ilvl w:val="0"/>
          <w:numId w:val="2"/>
        </w:numPr>
        <w:spacing w:after="25" w:line="268" w:lineRule="auto"/>
        <w:ind w:left="425" w:leftChars="0" w:hanging="425" w:firstLine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Led引脚pc13-pc15</w:t>
      </w:r>
    </w:p>
    <w:p w14:paraId="555BDFCD">
      <w:pPr>
        <w:widowControl/>
        <w:numPr>
          <w:ilvl w:val="0"/>
          <w:numId w:val="2"/>
        </w:numPr>
        <w:spacing w:after="25" w:line="268" w:lineRule="auto"/>
        <w:ind w:left="425" w:leftChars="0" w:hanging="425" w:firstLine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key引脚pa1,pa4,pa5,pa6,pa7</w:t>
      </w:r>
    </w:p>
    <w:p w14:paraId="1E4C506E">
      <w:pPr>
        <w:widowControl/>
        <w:numPr>
          <w:ilvl w:val="0"/>
          <w:numId w:val="2"/>
        </w:numPr>
        <w:spacing w:after="25" w:line="268" w:lineRule="auto"/>
        <w:ind w:left="425" w:leftChars="0" w:hanging="425" w:firstLine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蜂鸣器引脚 pb9</w:t>
      </w:r>
    </w:p>
    <w:p w14:paraId="4ABBAF43">
      <w:pPr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（2）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软件</w:t>
      </w:r>
    </w:p>
    <w:p w14:paraId="24515A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使用定时器（TIM3）实现周期性中断，控制LED和蜂鸣器闪烁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A9778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采用按键消抖处理，区分短按、双击、长按等动作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63829B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主循环中检测按键状态，控制标志位变化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7B614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27657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关键代码</w:t>
      </w:r>
    </w:p>
    <w:p w14:paraId="42B85EC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Main.c</w:t>
      </w:r>
    </w:p>
    <w:p w14:paraId="494AB26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int main(void)</w:t>
      </w:r>
    </w:p>
    <w:p w14:paraId="03A36C5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{</w:t>
      </w:r>
    </w:p>
    <w:p w14:paraId="1FAB09C7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</w:p>
    <w:p w14:paraId="47B810C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SystemInit();</w:t>
      </w:r>
    </w:p>
    <w:p w14:paraId="66822E81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exit_Init();</w:t>
      </w:r>
    </w:p>
    <w:p w14:paraId="174607E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LEDInit();</w:t>
      </w:r>
    </w:p>
    <w:p w14:paraId="22141B1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BEEPInit();</w:t>
      </w:r>
    </w:p>
    <w:p w14:paraId="48274A0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SysTick_Init();  // 初始化系统时钟</w:t>
      </w:r>
    </w:p>
    <w:p w14:paraId="0A6200D3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Lcd_Init();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//初始化LCD</w:t>
      </w:r>
    </w:p>
    <w:p w14:paraId="3A3AA0E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BACK_COLOR=BLACK;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//背景为黑色</w:t>
      </w:r>
    </w:p>
    <w:p w14:paraId="339785B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POINT_COLOR=WHITE;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//画笔为黄色</w:t>
      </w:r>
    </w:p>
    <w:p w14:paraId="52B76E2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LCD_Clear(BLACK);</w:t>
      </w:r>
    </w:p>
    <w:p w14:paraId="1879F1F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LCD_Show_Chinese16x16(120,20,"实验"); //显示 中文字符串</w:t>
      </w:r>
    </w:p>
    <w:p w14:paraId="705E546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LCD_ShowString(160,20,"1");</w:t>
      </w:r>
    </w:p>
    <w:p w14:paraId="0203A5A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//LCD_ShowString(80,80,"This is a test!");//显示英文字符串</w:t>
      </w:r>
    </w:p>
    <w:p w14:paraId="0B1B925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LCD_Show_Chinese16x16(80,80,"初始化完成！");</w:t>
      </w:r>
    </w:p>
    <w:p w14:paraId="10B1EDA6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BEEP(BEEP_OFF);</w:t>
      </w:r>
    </w:p>
    <w:p w14:paraId="22B53ED3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</w:p>
    <w:p w14:paraId="316A1DF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while(1)</w:t>
      </w:r>
    </w:p>
    <w:p w14:paraId="0F5B16C7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{</w:t>
      </w:r>
    </w:p>
    <w:p w14:paraId="6973130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// 处理LED控制</w:t>
      </w:r>
    </w:p>
    <w:p w14:paraId="4D734ABF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if(keyActionFlag)</w:t>
      </w:r>
    </w:p>
    <w:p w14:paraId="01F1B041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{</w:t>
      </w:r>
    </w:p>
    <w:p w14:paraId="48D25A10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if(keyActionFlag == 1)       // 单击切换</w:t>
      </w:r>
    </w:p>
    <w:p w14:paraId="30E3ED7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{</w:t>
      </w:r>
    </w:p>
    <w:p w14:paraId="228D0E06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blinkEnable = 0;</w:t>
      </w:r>
    </w:p>
    <w:p w14:paraId="47E18ECE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TIM_Cmd(TIM3, DISABLE);</w:t>
      </w:r>
    </w:p>
    <w:p w14:paraId="7B2FA2A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LED_Turn();</w:t>
      </w:r>
    </w:p>
    <w:p w14:paraId="2D95E806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LCD_Show_Chinese16x16(80,200,"　　　　　　　　　　　　　　");</w:t>
      </w:r>
    </w:p>
    <w:p w14:paraId="7A7AD98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}</w:t>
      </w:r>
    </w:p>
    <w:p w14:paraId="1973271F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else if(keyActionFlag == 2)  // 双击闪烁</w:t>
      </w:r>
    </w:p>
    <w:p w14:paraId="652BE4F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{</w:t>
      </w:r>
    </w:p>
    <w:p w14:paraId="3A05BFA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blinkEnable = 1;</w:t>
      </w:r>
    </w:p>
    <w:p w14:paraId="1F2E821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TIM_Cmd(TIM3, ENABLE);</w:t>
      </w:r>
    </w:p>
    <w:p w14:paraId="36E076A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LCD_Show_Chinese16x16(80,200,"灯频率：");</w:t>
      </w:r>
    </w:p>
    <w:p w14:paraId="4C06B5F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}</w:t>
      </w:r>
    </w:p>
    <w:p w14:paraId="1CD3F87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keyActionFlag = 0;</w:t>
      </w:r>
    </w:p>
    <w:p w14:paraId="050CAE4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}</w:t>
      </w:r>
    </w:p>
    <w:p w14:paraId="1E9CDA5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</w:t>
      </w:r>
    </w:p>
    <w:p w14:paraId="29F7E22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// 处理蜂鸣器控制</w:t>
      </w:r>
    </w:p>
    <w:p w14:paraId="0DC38DE0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if(beepActionFlag)</w:t>
      </w:r>
    </w:p>
    <w:p w14:paraId="2BD4B1F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{</w:t>
      </w:r>
    </w:p>
    <w:p w14:paraId="41563BE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if(beepActionFlag == 1)      // 单击切换</w:t>
      </w:r>
    </w:p>
    <w:p w14:paraId="6E6DFF41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{</w:t>
      </w:r>
    </w:p>
    <w:p w14:paraId="394CC88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beepBlinkEnable = 0;</w:t>
      </w:r>
    </w:p>
    <w:p w14:paraId="460469A0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TIM_Cmd(TIM4, DISABLE);</w:t>
      </w:r>
    </w:p>
    <w:p w14:paraId="6144773E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BEEP_Turn();</w:t>
      </w:r>
    </w:p>
    <w:p w14:paraId="39A1E12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LCD_Show_Chinese16x16(80,220,"　　　　　　　　　　　　　　");</w:t>
      </w:r>
    </w:p>
    <w:p w14:paraId="531A8CC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}</w:t>
      </w:r>
    </w:p>
    <w:p w14:paraId="7C2A0C41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else if(beepActionFlag == 2) // 双击闪烁</w:t>
      </w:r>
    </w:p>
    <w:p w14:paraId="5C959B86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{</w:t>
      </w:r>
    </w:p>
    <w:p w14:paraId="0D443700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beepBlinkEnable = 1;</w:t>
      </w:r>
    </w:p>
    <w:p w14:paraId="014EBF2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    TIM_Cmd(TIM4, ENABLE);</w:t>
      </w:r>
    </w:p>
    <w:p w14:paraId="5A4AC7C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LCD_Show_Chinese16x16(80,220,"声频率：");</w:t>
      </w:r>
    </w:p>
    <w:p w14:paraId="700EA49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}</w:t>
      </w:r>
    </w:p>
    <w:p w14:paraId="6599015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beepActionFlag = 0;</w:t>
      </w:r>
    </w:p>
    <w:p w14:paraId="64784AE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}</w:t>
      </w:r>
    </w:p>
    <w:p w14:paraId="0642CCC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</w:p>
    <w:p w14:paraId="13408CD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// LED频率处理</w:t>
      </w:r>
    </w:p>
    <w:p w14:paraId="254BD4C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if(speedChangeFlag) {</w:t>
      </w:r>
    </w:p>
    <w:p w14:paraId="1D52E2D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TIM3_SpeedConfig(ledSpeed);</w:t>
      </w:r>
    </w:p>
    <w:p w14:paraId="706454E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// 状态指示（可选）</w:t>
      </w:r>
    </w:p>
    <w:p w14:paraId="2ED1D64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LED(0, (ledSpeed==0)?LED_ON:LED_OFF);</w:t>
      </w:r>
    </w:p>
    <w:p w14:paraId="36216FC3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LED(1, (ledSpeed==1)?LED_ON:LED_OFF);</w:t>
      </w:r>
    </w:p>
    <w:p w14:paraId="3CAD881F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LED(2, (ledSpeed==2)?LED_ON:LED_OFF);</w:t>
      </w:r>
    </w:p>
    <w:p w14:paraId="5EB1F27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speedChangeFlag = 0;</w:t>
      </w:r>
    </w:p>
    <w:p w14:paraId="5346DC9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}</w:t>
      </w:r>
    </w:p>
    <w:p w14:paraId="65878210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</w:t>
      </w:r>
    </w:p>
    <w:p w14:paraId="03EF0061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// 蜂鸣器频率处理</w:t>
      </w:r>
    </w:p>
    <w:p w14:paraId="360B15F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if(beepSpeedChangeFlag) {</w:t>
      </w:r>
    </w:p>
    <w:p w14:paraId="0A61ECE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TIM4_SpeedConfig(beepSpeed);</w:t>
      </w:r>
    </w:p>
    <w:p w14:paraId="5CC5A77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// 状态指示（可选）</w:t>
      </w:r>
    </w:p>
    <w:p w14:paraId="11E799E1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BEEP((beepSpeed==0)?BEEP_OFF:BEEP_ON);</w:t>
      </w:r>
    </w:p>
    <w:p w14:paraId="5D06B8F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beepSpeedChangeFlag = 0;</w:t>
      </w:r>
    </w:p>
    <w:p w14:paraId="51BCCCB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}</w:t>
      </w:r>
    </w:p>
    <w:p w14:paraId="3E315FF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</w:p>
    <w:p w14:paraId="32D24436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// 紧急停止处理（最高优先级）</w:t>
      </w:r>
    </w:p>
    <w:p w14:paraId="18507E0A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if(systemShutdownFlag) {</w:t>
      </w:r>
    </w:p>
    <w:p w14:paraId="039ECA1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// 关闭所有定时器</w:t>
      </w:r>
    </w:p>
    <w:p w14:paraId="025B5FD3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TIM_Cmd(TIM3, DISABLE);</w:t>
      </w:r>
    </w:p>
    <w:p w14:paraId="026986B8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TIM_Cmd(TIM4, DISABLE);</w:t>
      </w:r>
    </w:p>
    <w:p w14:paraId="4AC898B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</w:t>
      </w:r>
    </w:p>
    <w:p w14:paraId="0726074E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// 关闭所有LED</w:t>
      </w:r>
    </w:p>
    <w:p w14:paraId="3200EBA7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LED(0, LED_OFF);</w:t>
      </w:r>
    </w:p>
    <w:p w14:paraId="350B609E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LED(1, LED_OFF);</w:t>
      </w:r>
    </w:p>
    <w:p w14:paraId="566A6C64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LED(2, LED_OFF);</w:t>
      </w:r>
    </w:p>
    <w:p w14:paraId="4417482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</w:t>
      </w:r>
    </w:p>
    <w:p w14:paraId="6B755F8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// 关闭蜂鸣器</w:t>
      </w:r>
    </w:p>
    <w:p w14:paraId="71F859F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BEEP(BEEP_OFF);</w:t>
      </w:r>
    </w:p>
    <w:p w14:paraId="1626FABD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</w:t>
      </w:r>
    </w:p>
    <w:p w14:paraId="05339586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// 重置所有状态</w:t>
      </w:r>
    </w:p>
    <w:p w14:paraId="0A6A844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blinkEnable = 0;</w:t>
      </w:r>
    </w:p>
    <w:p w14:paraId="5334ACE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beepBlinkEnable = 0;</w:t>
      </w:r>
    </w:p>
    <w:p w14:paraId="38B38D5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    systemShutdownFlag = 0;</w:t>
      </w:r>
    </w:p>
    <w:p w14:paraId="7441A403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</w:p>
    <w:p w14:paraId="13424E7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LCD_Clear(BLACK);</w:t>
      </w:r>
    </w:p>
    <w:p w14:paraId="16E7F660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LCD_Show_Chinese16x16(120,20,"实验"); //显示 中文字符串</w:t>
      </w:r>
    </w:p>
    <w:p w14:paraId="3E702E19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LCD_ShowString(160,20,"1");</w:t>
      </w:r>
    </w:p>
    <w:p w14:paraId="30966E5C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LCD_Show_Chinese16x16(80,80,"初始化完成！");</w:t>
      </w:r>
    </w:p>
    <w:p w14:paraId="0DA85CCF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</w:p>
    <w:p w14:paraId="00E540E2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    }</w:t>
      </w:r>
    </w:p>
    <w:p w14:paraId="7A84980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  }</w:t>
      </w:r>
    </w:p>
    <w:p w14:paraId="493F0B5B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}</w:t>
      </w:r>
    </w:p>
    <w:p w14:paraId="27FA21D5">
      <w:pPr>
        <w:pStyle w:val="24"/>
        <w:widowControl/>
        <w:numPr>
          <w:ilvl w:val="0"/>
          <w:numId w:val="0"/>
        </w:numPr>
        <w:spacing w:after="25" w:line="268" w:lineRule="auto"/>
        <w:ind w:leftChars="0"/>
        <w:jc w:val="left"/>
        <w:textAlignment w:val="baseline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代码注解：</w:t>
      </w:r>
    </w:p>
    <w:p w14:paraId="241BBD9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 xml:space="preserve">在本系统主程序中，首先通过 </w:t>
      </w:r>
      <w:r>
        <w:rPr>
          <w:rStyle w:val="16"/>
        </w:rPr>
        <w:t>SystemInit()</w:t>
      </w:r>
      <w:r>
        <w:t xml:space="preserve"> 完成系统时钟的初始化，随后依次调用 </w:t>
      </w:r>
      <w:r>
        <w:rPr>
          <w:rStyle w:val="16"/>
        </w:rPr>
        <w:t>exit_Init()</w:t>
      </w:r>
      <w:r>
        <w:t>、</w:t>
      </w:r>
      <w:r>
        <w:rPr>
          <w:rStyle w:val="16"/>
        </w:rPr>
        <w:t>LEDInit()</w:t>
      </w:r>
      <w:r>
        <w:t xml:space="preserve"> 和 </w:t>
      </w:r>
      <w:r>
        <w:rPr>
          <w:rStyle w:val="16"/>
        </w:rPr>
        <w:t>BEEPInit()</w:t>
      </w:r>
      <w:r>
        <w:t xml:space="preserve"> 分别完成外部中断、LED模块和蜂鸣器模块的硬件初始化。通过 </w:t>
      </w:r>
      <w:r>
        <w:rPr>
          <w:rStyle w:val="16"/>
        </w:rPr>
        <w:t>SysTick_Init()</w:t>
      </w:r>
      <w:r>
        <w:t xml:space="preserve"> 初始化系统滴答定时器，为后续时间控制提供基础支持。同时调用 </w:t>
      </w:r>
      <w:r>
        <w:rPr>
          <w:rStyle w:val="16"/>
        </w:rPr>
        <w:t>Lcd_Init()</w:t>
      </w:r>
      <w:r>
        <w:t xml:space="preserve"> 初始化LCD液晶显示模块，并设置默认背景颜色为黑色(</w:t>
      </w:r>
      <w:r>
        <w:rPr>
          <w:rStyle w:val="16"/>
        </w:rPr>
        <w:t>BACK_COLOR=BLACK</w:t>
      </w:r>
      <w:r>
        <w:t>)、默认画笔颜色为白色(</w:t>
      </w:r>
      <w:r>
        <w:rPr>
          <w:rStyle w:val="16"/>
        </w:rPr>
        <w:t>POINT_COLOR=WHITE</w:t>
      </w:r>
      <w:r>
        <w:t xml:space="preserve">)，随后调用 </w:t>
      </w:r>
      <w:r>
        <w:rPr>
          <w:rStyle w:val="16"/>
        </w:rPr>
        <w:t>LCD_Clear(BLACK)</w:t>
      </w:r>
      <w:r>
        <w:t xml:space="preserve"> 清屏，保证显示界面整洁。在初始化完成后，界面上显示“实验1”和“初始化完成！”等提示信息，最后关闭蜂鸣器 (</w:t>
      </w:r>
      <w:r>
        <w:rPr>
          <w:rStyle w:val="16"/>
        </w:rPr>
        <w:t>BEEP(BEEP_OFF)</w:t>
      </w:r>
      <w:r>
        <w:t>) 进入正常工作状态。</w:t>
      </w:r>
    </w:p>
    <w:p w14:paraId="263581D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 xml:space="preserve">在主循环 </w:t>
      </w:r>
      <w:r>
        <w:rPr>
          <w:rStyle w:val="16"/>
        </w:rPr>
        <w:t>while(1)</w:t>
      </w:r>
      <w:r>
        <w:t xml:space="preserve"> 中，程序根据各类标志位的状态动态响应用户操作。首先，当检测到 </w:t>
      </w:r>
      <w:r>
        <w:rPr>
          <w:rStyle w:val="16"/>
        </w:rPr>
        <w:t>keyActionFlag</w:t>
      </w:r>
      <w:r>
        <w:t xml:space="preserve"> 被置位时，根据按键操作的类型执行相应处理：若 </w:t>
      </w:r>
      <w:r>
        <w:rPr>
          <w:rStyle w:val="16"/>
        </w:rPr>
        <w:t>keyActionFlag == 1</w:t>
      </w:r>
      <w:r>
        <w:t>，表示单击按键，程序关闭LED闪烁功能(</w:t>
      </w:r>
      <w:r>
        <w:rPr>
          <w:rStyle w:val="16"/>
        </w:rPr>
        <w:t>blinkEnable=0</w:t>
      </w:r>
      <w:r>
        <w:t>)，停止定时器TIM3 (</w:t>
      </w:r>
      <w:r>
        <w:rPr>
          <w:rStyle w:val="16"/>
        </w:rPr>
        <w:t>TIM_Cmd(TIM3, DISABLE)</w:t>
      </w:r>
      <w:r>
        <w:t xml:space="preserve">)，并直接切换LED当前状态，同时清除屏幕上相关提示信息；若 </w:t>
      </w:r>
      <w:r>
        <w:rPr>
          <w:rStyle w:val="16"/>
        </w:rPr>
        <w:t>keyActionFlag == 2</w:t>
      </w:r>
      <w:r>
        <w:t>，表示双击按键，程序开启LED闪烁功能(</w:t>
      </w:r>
      <w:r>
        <w:rPr>
          <w:rStyle w:val="16"/>
        </w:rPr>
        <w:t>blinkEnable=1</w:t>
      </w:r>
      <w:r>
        <w:t xml:space="preserve">)，启动TIM3定时器控制闪烁频率，并在LCD上显示“灯频率”的提示。按键动作处理完成后，将 </w:t>
      </w:r>
      <w:r>
        <w:rPr>
          <w:rStyle w:val="16"/>
        </w:rPr>
        <w:t>keyActionFlag</w:t>
      </w:r>
      <w:r>
        <w:t xml:space="preserve"> 复位为0，防止重复响应。</w:t>
      </w:r>
    </w:p>
    <w:p w14:paraId="721C60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 xml:space="preserve">蜂鸣器的控制逻辑与LED相似。当 </w:t>
      </w:r>
      <w:r>
        <w:rPr>
          <w:rStyle w:val="16"/>
        </w:rPr>
        <w:t>beepActionFlag</w:t>
      </w:r>
      <w:r>
        <w:t xml:space="preserve"> 被置位时，根据其数值判断操作类型：单击时关闭蜂鸣器闪烁(</w:t>
      </w:r>
      <w:r>
        <w:rPr>
          <w:rStyle w:val="16"/>
        </w:rPr>
        <w:t>beepBlinkEnable=0</w:t>
      </w:r>
      <w:r>
        <w:t>)，关闭TIM4定时器，切换蜂鸣器当前开关状态，同时清除LCD上对应提示；双击时打开蜂鸣器闪烁(</w:t>
      </w:r>
      <w:r>
        <w:rPr>
          <w:rStyle w:val="16"/>
        </w:rPr>
        <w:t>beepBlinkEnable=1</w:t>
      </w:r>
      <w:r>
        <w:t xml:space="preserve">)，启动TIM4定时器，并在LCD上显示“声频率”的提示。处理完成后，将 </w:t>
      </w:r>
      <w:r>
        <w:rPr>
          <w:rStyle w:val="16"/>
        </w:rPr>
        <w:t>beepActionFlag</w:t>
      </w:r>
      <w:r>
        <w:t xml:space="preserve"> 清零。</w:t>
      </w:r>
    </w:p>
    <w:p w14:paraId="3065C44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 xml:space="preserve">针对LED频率变化，当 </w:t>
      </w:r>
      <w:r>
        <w:rPr>
          <w:rStyle w:val="16"/>
        </w:rPr>
        <w:t>speedChangeFlag</w:t>
      </w:r>
      <w:r>
        <w:t xml:space="preserve"> 被置位时，调用 </w:t>
      </w:r>
      <w:r>
        <w:rPr>
          <w:rStyle w:val="16"/>
        </w:rPr>
        <w:t>TIM3_SpeedConfig(ledSpeed)</w:t>
      </w:r>
      <w:r>
        <w:t xml:space="preserve"> 根据当前设定的速度值调整LED闪烁频率。同时，为了直观显示当前频率状态，系统通过点亮不同的LED灯指示速度等级。处理完成后，清除 </w:t>
      </w:r>
      <w:r>
        <w:rPr>
          <w:rStyle w:val="16"/>
        </w:rPr>
        <w:t>speedChangeFlag</w:t>
      </w:r>
      <w:r>
        <w:t xml:space="preserve"> 标志位。</w:t>
      </w:r>
    </w:p>
    <w:p w14:paraId="55CF9CC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 xml:space="preserve">针对蜂鸣器频率变化，当 </w:t>
      </w:r>
      <w:r>
        <w:rPr>
          <w:rStyle w:val="16"/>
        </w:rPr>
        <w:t>beepSpeedChangeFlag</w:t>
      </w:r>
      <w:r>
        <w:t xml:space="preserve"> 被置位时，调用 </w:t>
      </w:r>
      <w:r>
        <w:rPr>
          <w:rStyle w:val="16"/>
        </w:rPr>
        <w:t>TIM4_SpeedConfig(beepSpeed)</w:t>
      </w:r>
      <w:r>
        <w:t xml:space="preserve"> 配置蜂鸣器的闪烁频率。蜂鸣器的状态指示也通过控制开关来体现。处理结束后，复位 </w:t>
      </w:r>
      <w:r>
        <w:rPr>
          <w:rStyle w:val="16"/>
        </w:rPr>
        <w:t>beepSpeedChangeFlag</w:t>
      </w:r>
      <w:r>
        <w:t xml:space="preserve"> 标志位。</w:t>
      </w:r>
    </w:p>
    <w:p w14:paraId="358489E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 xml:space="preserve">在系统运行过程中，若检测到 </w:t>
      </w:r>
      <w:r>
        <w:rPr>
          <w:rStyle w:val="16"/>
        </w:rPr>
        <w:t>systemShutdownFlag</w:t>
      </w:r>
      <w:r>
        <w:t xml:space="preserve"> 被置位，表明需要执行紧急停止操作。系统立即关闭所有相关定时器（TIM3与TIM4）、关闭所有LED灯和蜂鸣器输出，同时重置LED闪烁(</w:t>
      </w:r>
      <w:r>
        <w:rPr>
          <w:rStyle w:val="16"/>
        </w:rPr>
        <w:t>blinkEnable</w:t>
      </w:r>
      <w:r>
        <w:t>)与蜂鸣器闪烁(</w:t>
      </w:r>
      <w:r>
        <w:rPr>
          <w:rStyle w:val="16"/>
        </w:rPr>
        <w:t>beepBlinkEnable</w:t>
      </w:r>
      <w:r>
        <w:t>)控制标志，保证系统进入安全状态。随后，重新清除LCD并恢复初始化界面，提示用户系统已完成重置与自检，等待新的操作指令。</w:t>
      </w:r>
    </w:p>
    <w:p w14:paraId="43F0EC9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</w:pPr>
      <w:r>
        <w:t>整个程序结构清晰，模块分工明确，通过中断标志位配合主循环，不仅提高了系统响应速度，还保证了多功能协同工作的稳定性和实时性。</w:t>
      </w:r>
    </w:p>
    <w:p w14:paraId="40E61CEC">
      <w:pPr>
        <w:widowControl/>
        <w:numPr>
          <w:ilvl w:val="0"/>
          <w:numId w:val="1"/>
        </w:numPr>
        <w:tabs>
          <w:tab w:val="left" w:pos="456"/>
        </w:tabs>
        <w:spacing w:after="25" w:line="268" w:lineRule="auto"/>
        <w:ind w:left="0" w:leftChars="0" w:firstLine="0" w:firstLineChars="0"/>
        <w:jc w:val="left"/>
        <w:textAlignment w:val="baseline"/>
        <w:rPr>
          <w:rFonts w:hint="eastAsia" w:ascii="黑体" w:hAnsi="黑体" w:eastAsia="黑体" w:cs="宋体"/>
          <w:bCs/>
          <w:color w:val="000000"/>
          <w:sz w:val="24"/>
        </w:rPr>
      </w:pPr>
      <w:r>
        <w:rPr>
          <w:rFonts w:hint="eastAsia" w:ascii="黑体" w:hAnsi="黑体" w:eastAsia="黑体" w:cs="宋体"/>
          <w:bCs/>
          <w:color w:val="000000"/>
          <w:sz w:val="24"/>
        </w:rPr>
        <w:t>实验结果</w:t>
      </w:r>
    </w:p>
    <w:p w14:paraId="08A09767">
      <w:pPr>
        <w:widowControl/>
        <w:numPr>
          <w:ilvl w:val="0"/>
          <w:numId w:val="0"/>
        </w:numPr>
        <w:tabs>
          <w:tab w:val="left" w:pos="456"/>
        </w:tabs>
        <w:spacing w:after="25" w:line="268" w:lineRule="auto"/>
        <w:jc w:val="left"/>
        <w:textAlignment w:val="baseline"/>
        <w:rPr>
          <w:rFonts w:hint="eastAsia" w:ascii="黑体" w:hAnsi="黑体" w:eastAsia="黑体" w:cs="宋体"/>
          <w:bCs/>
          <w:color w:val="000000"/>
          <w:sz w:val="24"/>
        </w:rPr>
      </w:pPr>
    </w:p>
    <w:p w14:paraId="767D624C">
      <w:pPr>
        <w:widowControl/>
        <w:numPr>
          <w:ilvl w:val="0"/>
          <w:numId w:val="0"/>
        </w:numPr>
        <w:tabs>
          <w:tab w:val="left" w:pos="456"/>
        </w:tabs>
        <w:spacing w:after="25" w:line="268" w:lineRule="auto"/>
        <w:jc w:val="left"/>
        <w:textAlignment w:val="baseline"/>
        <w:rPr>
          <w:rFonts w:hint="eastAsia" w:ascii="黑体" w:hAnsi="黑体" w:eastAsia="黑体" w:cs="宋体"/>
          <w:bCs/>
          <w:color w:val="000000"/>
          <w:sz w:val="24"/>
          <w:lang w:val="en-US" w:eastAsia="zh-CN"/>
        </w:rPr>
      </w:pPr>
      <w:r>
        <w:rPr>
          <w:rFonts w:hint="eastAsia" w:ascii="黑体" w:hAnsi="黑体" w:eastAsia="黑体" w:cs="宋体"/>
          <w:bCs/>
          <w:color w:val="000000"/>
          <w:sz w:val="24"/>
          <w:lang w:val="en-US" w:eastAsia="zh-CN"/>
        </w:rPr>
        <w:t>系统初始化结果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 w14:paraId="1AED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54E77518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default" w:ascii="黑体" w:hAnsi="黑体" w:eastAsia="黑体" w:cs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2321" w:type="dxa"/>
          </w:tcPr>
          <w:p w14:paraId="78A1BDA8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实际结果</w:t>
            </w:r>
          </w:p>
        </w:tc>
        <w:tc>
          <w:tcPr>
            <w:tcW w:w="2322" w:type="dxa"/>
          </w:tcPr>
          <w:p w14:paraId="10C8B803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目标结果</w:t>
            </w:r>
          </w:p>
        </w:tc>
        <w:tc>
          <w:tcPr>
            <w:tcW w:w="2322" w:type="dxa"/>
          </w:tcPr>
          <w:p w14:paraId="26D9FA01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是否通过</w:t>
            </w:r>
          </w:p>
        </w:tc>
      </w:tr>
      <w:tr w14:paraId="29DF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2DBF5674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default" w:ascii="黑体" w:hAnsi="黑体" w:eastAsia="黑体" w:cs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Led、蜂鸣器处于关闭状态，lcd显示初始化完成</w:t>
            </w:r>
          </w:p>
        </w:tc>
        <w:tc>
          <w:tcPr>
            <w:tcW w:w="2321" w:type="dxa"/>
          </w:tcPr>
          <w:p w14:paraId="4DF18F1B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Led、蜂鸣器处于关闭状态，lcd显示初始化完成</w:t>
            </w:r>
          </w:p>
        </w:tc>
        <w:tc>
          <w:tcPr>
            <w:tcW w:w="2322" w:type="dxa"/>
          </w:tcPr>
          <w:p w14:paraId="1C44221D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Led、蜂鸣器处于关闭状态，lcd显示初始化完成</w:t>
            </w:r>
          </w:p>
        </w:tc>
        <w:tc>
          <w:tcPr>
            <w:tcW w:w="2322" w:type="dxa"/>
          </w:tcPr>
          <w:p w14:paraId="0865C7E2">
            <w:pPr>
              <w:widowControl/>
              <w:numPr>
                <w:ilvl w:val="0"/>
                <w:numId w:val="0"/>
              </w:numPr>
              <w:tabs>
                <w:tab w:val="left" w:pos="456"/>
              </w:tabs>
              <w:spacing w:after="25" w:line="268" w:lineRule="auto"/>
              <w:jc w:val="left"/>
              <w:textAlignment w:val="baseline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vertAlign w:val="baseline"/>
                <w:lang w:val="en-US" w:eastAsia="zh-CN"/>
              </w:rPr>
              <w:t>是</w:t>
            </w:r>
          </w:p>
        </w:tc>
      </w:tr>
    </w:tbl>
    <w:p w14:paraId="42E18081">
      <w:pPr>
        <w:widowControl/>
        <w:numPr>
          <w:ilvl w:val="0"/>
          <w:numId w:val="0"/>
        </w:numPr>
        <w:tabs>
          <w:tab w:val="left" w:pos="456"/>
        </w:tabs>
        <w:spacing w:after="25" w:line="268" w:lineRule="auto"/>
        <w:jc w:val="left"/>
        <w:textAlignment w:val="baseline"/>
        <w:rPr>
          <w:rFonts w:hint="default" w:ascii="黑体" w:hAnsi="黑体" w:eastAsia="黑体" w:cs="宋体"/>
          <w:bCs/>
          <w:color w:val="000000"/>
          <w:sz w:val="24"/>
          <w:lang w:val="en-US" w:eastAsia="zh-CN"/>
        </w:rPr>
      </w:pPr>
    </w:p>
    <w:p w14:paraId="23552C11">
      <w:pPr>
        <w:widowControl/>
        <w:numPr>
          <w:ilvl w:val="0"/>
          <w:numId w:val="0"/>
        </w:numPr>
        <w:tabs>
          <w:tab w:val="left" w:pos="456"/>
        </w:tabs>
        <w:spacing w:after="25" w:line="268" w:lineRule="auto"/>
        <w:ind w:leftChars="0"/>
        <w:jc w:val="left"/>
        <w:textAlignment w:val="baseline"/>
        <w:rPr>
          <w:rFonts w:hint="default" w:ascii="黑体" w:hAnsi="黑体" w:eastAsia="黑体" w:cs="宋体"/>
          <w:bCs/>
          <w:color w:val="000000"/>
          <w:sz w:val="24"/>
          <w:lang w:val="en-US" w:eastAsia="zh-CN"/>
        </w:rPr>
      </w:pPr>
      <w:r>
        <w:rPr>
          <w:rFonts w:hint="eastAsia" w:ascii="黑体" w:hAnsi="黑体" w:eastAsia="黑体" w:cs="宋体"/>
          <w:bCs/>
          <w:color w:val="000000"/>
          <w:sz w:val="24"/>
          <w:lang w:val="en-US" w:eastAsia="zh-CN"/>
        </w:rPr>
        <w:t>按键实验结果</w:t>
      </w:r>
    </w:p>
    <w:p w14:paraId="17EC263D">
      <w:pPr>
        <w:widowControl/>
        <w:spacing w:line="400" w:lineRule="exact"/>
        <w:jc w:val="left"/>
        <w:textAlignment w:val="baseline"/>
        <w:rPr>
          <w:rFonts w:hint="eastAsia" w:ascii="宋体" w:hAnsi="宋体" w:eastAsia="宋体"/>
          <w:kern w:val="0"/>
          <w:szCs w:val="21"/>
          <w:lang w:eastAsia="zh-CN"/>
        </w:rPr>
      </w:pPr>
    </w:p>
    <w:tbl>
      <w:tblPr>
        <w:tblStyle w:val="13"/>
        <w:tblW w:w="9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300"/>
        <w:gridCol w:w="2300"/>
        <w:gridCol w:w="2300"/>
      </w:tblGrid>
      <w:tr w14:paraId="17C8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  <w:jc w:val="center"/>
        </w:trPr>
        <w:tc>
          <w:tcPr>
            <w:tcW w:w="2300" w:type="dxa"/>
          </w:tcPr>
          <w:p w14:paraId="4340798D">
            <w:pPr>
              <w:widowControl/>
              <w:tabs>
                <w:tab w:val="center" w:pos="820"/>
              </w:tabs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目标</w:t>
            </w:r>
          </w:p>
        </w:tc>
        <w:tc>
          <w:tcPr>
            <w:tcW w:w="2300" w:type="dxa"/>
          </w:tcPr>
          <w:p w14:paraId="1C15CE9C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实际结果</w:t>
            </w:r>
          </w:p>
        </w:tc>
        <w:tc>
          <w:tcPr>
            <w:tcW w:w="2300" w:type="dxa"/>
          </w:tcPr>
          <w:p w14:paraId="018FC184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目标结果</w:t>
            </w:r>
          </w:p>
        </w:tc>
        <w:tc>
          <w:tcPr>
            <w:tcW w:w="2300" w:type="dxa"/>
          </w:tcPr>
          <w:p w14:paraId="69C57F99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是否通过</w:t>
            </w:r>
          </w:p>
        </w:tc>
      </w:tr>
      <w:tr w14:paraId="1D2D2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00" w:type="dxa"/>
          </w:tcPr>
          <w:p w14:paraId="25BD0F05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key1按一下LED开，再按LED关，双击LED闪烁；LCD显示LED状态</w:t>
            </w:r>
          </w:p>
        </w:tc>
        <w:tc>
          <w:tcPr>
            <w:tcW w:w="2300" w:type="dxa"/>
          </w:tcPr>
          <w:p w14:paraId="5A249B10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Led灯常亮，再按一次则led灯熄灭</w:t>
            </w:r>
          </w:p>
        </w:tc>
        <w:tc>
          <w:tcPr>
            <w:tcW w:w="2300" w:type="dxa"/>
          </w:tcPr>
          <w:p w14:paraId="324DC804">
            <w:pPr>
              <w:widowControl/>
              <w:spacing w:line="400" w:lineRule="exact"/>
              <w:jc w:val="center"/>
              <w:textAlignment w:val="baseline"/>
              <w:rPr>
                <w:rFonts w:hint="eastAsia" w:ascii="宋体" w:hAnsi="宋体" w:eastAsia="宋体"/>
                <w:kern w:val="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Led灯常亮，再按一次则led灯熄灭</w:t>
            </w:r>
          </w:p>
        </w:tc>
        <w:tc>
          <w:tcPr>
            <w:tcW w:w="2300" w:type="dxa"/>
          </w:tcPr>
          <w:p w14:paraId="44A50B20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253F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2300" w:type="dxa"/>
          </w:tcPr>
          <w:p w14:paraId="688674F5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key1按一下LED开，再按LED关，双击LED闪烁；LCD显示LED状态</w:t>
            </w:r>
          </w:p>
        </w:tc>
        <w:tc>
          <w:tcPr>
            <w:tcW w:w="2300" w:type="dxa"/>
          </w:tcPr>
          <w:p w14:paraId="4814B8BF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按下两次Led灯闪烁，lcd显示开关状态</w:t>
            </w:r>
          </w:p>
        </w:tc>
        <w:tc>
          <w:tcPr>
            <w:tcW w:w="2300" w:type="dxa"/>
          </w:tcPr>
          <w:p w14:paraId="7C9DD793">
            <w:pPr>
              <w:widowControl/>
              <w:spacing w:line="400" w:lineRule="exact"/>
              <w:jc w:val="center"/>
              <w:textAlignment w:val="baseline"/>
              <w:rPr>
                <w:rFonts w:hint="eastAsia" w:ascii="宋体" w:hAnsi="宋体" w:eastAsia="宋体"/>
                <w:kern w:val="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按下两次Led灯闪烁，lcd显示开关状态</w:t>
            </w:r>
          </w:p>
        </w:tc>
        <w:tc>
          <w:tcPr>
            <w:tcW w:w="2300" w:type="dxa"/>
          </w:tcPr>
          <w:p w14:paraId="26B53205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12C8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2300" w:type="dxa"/>
          </w:tcPr>
          <w:p w14:paraId="759A221A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Key2按一下嗡鸣器开，再按嗡鸣器关，双击嗡鸣器闪鸣；LCD显示beep状态</w:t>
            </w:r>
          </w:p>
        </w:tc>
        <w:tc>
          <w:tcPr>
            <w:tcW w:w="2300" w:type="dxa"/>
          </w:tcPr>
          <w:p w14:paraId="3A31E06A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蜂鸣器长鸣，lcd显示状态</w:t>
            </w:r>
          </w:p>
        </w:tc>
        <w:tc>
          <w:tcPr>
            <w:tcW w:w="2300" w:type="dxa"/>
          </w:tcPr>
          <w:p w14:paraId="0CADDFB2">
            <w:pPr>
              <w:widowControl/>
              <w:spacing w:line="400" w:lineRule="exact"/>
              <w:jc w:val="center"/>
              <w:textAlignment w:val="baseline"/>
              <w:rPr>
                <w:rFonts w:hint="eastAsia" w:ascii="宋体" w:hAnsi="宋体" w:eastAsia="宋体"/>
                <w:kern w:val="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蜂鸣器长鸣，lcd显示状态</w:t>
            </w:r>
          </w:p>
        </w:tc>
        <w:tc>
          <w:tcPr>
            <w:tcW w:w="2300" w:type="dxa"/>
          </w:tcPr>
          <w:p w14:paraId="7542BA41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3A0D1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2300" w:type="dxa"/>
          </w:tcPr>
          <w:p w14:paraId="2AFCF180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Key2按一下嗡鸣器开，再按嗡鸣器关，双击嗡鸣器闪鸣；LCD显示beep状态</w:t>
            </w:r>
          </w:p>
        </w:tc>
        <w:tc>
          <w:tcPr>
            <w:tcW w:w="2300" w:type="dxa"/>
          </w:tcPr>
          <w:p w14:paraId="6262F1D0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蜂鸣器长鸣，lcd显示状态</w:t>
            </w:r>
          </w:p>
        </w:tc>
        <w:tc>
          <w:tcPr>
            <w:tcW w:w="2300" w:type="dxa"/>
          </w:tcPr>
          <w:p w14:paraId="5DDA0822">
            <w:pPr>
              <w:widowControl/>
              <w:spacing w:line="400" w:lineRule="exact"/>
              <w:jc w:val="center"/>
              <w:textAlignment w:val="baseline"/>
              <w:rPr>
                <w:rFonts w:hint="eastAsia" w:ascii="宋体" w:hAnsi="宋体" w:eastAsia="宋体"/>
                <w:kern w:val="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蜂鸣器长鸣，lcd显示状态</w:t>
            </w:r>
          </w:p>
        </w:tc>
        <w:tc>
          <w:tcPr>
            <w:tcW w:w="2300" w:type="dxa"/>
          </w:tcPr>
          <w:p w14:paraId="7147B6A9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3FC5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2300" w:type="dxa"/>
          </w:tcPr>
          <w:p w14:paraId="0F9FA881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key3控制LED闪烁频率，当LED闪烁时起效，设3种闪烁频率；LCD显示频闪频率</w:t>
            </w:r>
          </w:p>
        </w:tc>
        <w:tc>
          <w:tcPr>
            <w:tcW w:w="2300" w:type="dxa"/>
          </w:tcPr>
          <w:p w14:paraId="03CB17C6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切换led灯的闪烁频率，lcd显示闪烁等级</w:t>
            </w:r>
          </w:p>
        </w:tc>
        <w:tc>
          <w:tcPr>
            <w:tcW w:w="2300" w:type="dxa"/>
          </w:tcPr>
          <w:p w14:paraId="320AF9C4">
            <w:pPr>
              <w:widowControl/>
              <w:spacing w:line="400" w:lineRule="exact"/>
              <w:jc w:val="center"/>
              <w:textAlignment w:val="baseline"/>
              <w:rPr>
                <w:rFonts w:hint="eastAsia" w:ascii="宋体" w:hAnsi="宋体" w:eastAsia="宋体"/>
                <w:kern w:val="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切换led灯的闪烁频率，lcd显示闪烁等级</w:t>
            </w:r>
          </w:p>
        </w:tc>
        <w:tc>
          <w:tcPr>
            <w:tcW w:w="2300" w:type="dxa"/>
          </w:tcPr>
          <w:p w14:paraId="43DFF981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6B425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2300" w:type="dxa"/>
          </w:tcPr>
          <w:p w14:paraId="2308B82A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  <w:t>key4控制嗡鸣器闪鸣频率，规则同上；LCD显示闪鸣频率</w:t>
            </w:r>
          </w:p>
          <w:p w14:paraId="1E1D0149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3FB7C72C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 w:eastAsia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切换蜂鸣器的鸣闪频率</w:t>
            </w:r>
          </w:p>
        </w:tc>
        <w:tc>
          <w:tcPr>
            <w:tcW w:w="2300" w:type="dxa"/>
          </w:tcPr>
          <w:p w14:paraId="55183B96">
            <w:pPr>
              <w:widowControl/>
              <w:spacing w:line="400" w:lineRule="exact"/>
              <w:jc w:val="center"/>
              <w:textAlignment w:val="baseline"/>
              <w:rPr>
                <w:rFonts w:hint="eastAsia" w:ascii="宋体" w:hAnsi="宋体" w:eastAsia="宋体"/>
                <w:kern w:val="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切换蜂鸣器的鸣闪频率</w:t>
            </w:r>
          </w:p>
        </w:tc>
        <w:tc>
          <w:tcPr>
            <w:tcW w:w="2300" w:type="dxa"/>
          </w:tcPr>
          <w:p w14:paraId="62F7DF47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1BED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2300" w:type="dxa"/>
          </w:tcPr>
          <w:p w14:paraId="2DD084BA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key5完全关闭嗡鸣器和LED。LCD显示：”初始化完成”</w:t>
            </w:r>
          </w:p>
        </w:tc>
        <w:tc>
          <w:tcPr>
            <w:tcW w:w="2300" w:type="dxa"/>
          </w:tcPr>
          <w:p w14:paraId="5050A0CB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关闭led和蜂鸣器，lcd显示初始化完成</w:t>
            </w:r>
          </w:p>
        </w:tc>
        <w:tc>
          <w:tcPr>
            <w:tcW w:w="2300" w:type="dxa"/>
          </w:tcPr>
          <w:p w14:paraId="0F5C891B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关闭led和蜂鸣器，lcd显示初始完成</w:t>
            </w:r>
          </w:p>
        </w:tc>
        <w:tc>
          <w:tcPr>
            <w:tcW w:w="2300" w:type="dxa"/>
          </w:tcPr>
          <w:p w14:paraId="091C04EC">
            <w:pPr>
              <w:widowControl/>
              <w:spacing w:line="400" w:lineRule="exact"/>
              <w:jc w:val="center"/>
              <w:textAlignment w:val="baseline"/>
              <w:rPr>
                <w:rFonts w:hint="default" w:ascii="宋体" w:hAnsi="宋体"/>
                <w:kern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vertAlign w:val="baseline"/>
                <w:lang w:val="en-US" w:eastAsia="zh-CN"/>
              </w:rPr>
              <w:t>是</w:t>
            </w:r>
          </w:p>
        </w:tc>
      </w:tr>
    </w:tbl>
    <w:p w14:paraId="52C4AEC7">
      <w:pPr>
        <w:widowControl/>
        <w:spacing w:line="400" w:lineRule="exact"/>
        <w:jc w:val="left"/>
        <w:textAlignment w:val="baseline"/>
        <w:rPr>
          <w:rFonts w:hint="eastAsia" w:ascii="宋体" w:hAnsi="宋体" w:eastAsia="宋体"/>
          <w:kern w:val="0"/>
          <w:szCs w:val="21"/>
          <w:lang w:eastAsia="zh-CN"/>
        </w:rPr>
      </w:pPr>
    </w:p>
    <w:p w14:paraId="7D041092">
      <w:pPr>
        <w:widowControl/>
        <w:spacing w:line="400" w:lineRule="exact"/>
        <w:jc w:val="left"/>
        <w:textAlignment w:val="baseline"/>
        <w:rPr>
          <w:rFonts w:hint="default" w:ascii="宋体" w:hAnsi="宋体" w:eastAsia="宋体"/>
          <w:kern w:val="0"/>
          <w:szCs w:val="21"/>
          <w:lang w:val="en-US" w:eastAsia="zh-CN"/>
        </w:rPr>
      </w:pPr>
    </w:p>
    <w:p w14:paraId="3BAD8D75">
      <w:pPr>
        <w:widowControl/>
        <w:numPr>
          <w:ilvl w:val="0"/>
          <w:numId w:val="3"/>
        </w:numPr>
        <w:tabs>
          <w:tab w:val="left" w:pos="456"/>
        </w:tabs>
        <w:spacing w:after="25" w:line="268" w:lineRule="auto"/>
        <w:jc w:val="left"/>
        <w:textAlignment w:val="baseline"/>
        <w:rPr>
          <w:rFonts w:hint="eastAsia" w:ascii="黑体" w:hAnsi="黑体" w:eastAsia="黑体" w:cs="宋体"/>
          <w:bCs/>
          <w:color w:val="000000"/>
          <w:sz w:val="24"/>
          <w:lang w:val="en-US" w:eastAsia="zh-CN"/>
        </w:rPr>
      </w:pPr>
      <w:r>
        <w:rPr>
          <w:rFonts w:hint="eastAsia" w:ascii="黑体" w:hAnsi="黑体" w:eastAsia="黑体" w:cs="宋体"/>
          <w:bCs/>
          <w:color w:val="000000"/>
          <w:sz w:val="24"/>
          <w:lang w:val="en-US" w:eastAsia="zh-CN"/>
        </w:rPr>
        <w:t>实践总结</w:t>
      </w:r>
    </w:p>
    <w:p w14:paraId="51164C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</w:pPr>
      <w:r>
        <w:rPr>
          <w:rStyle w:val="15"/>
        </w:rPr>
        <w:t>实践总结</w:t>
      </w:r>
    </w:p>
    <w:p w14:paraId="7ED6CF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eastAsia" w:eastAsia="宋体"/>
          <w:lang w:eastAsia="zh-CN"/>
        </w:rPr>
      </w:pPr>
      <w:r>
        <w:t xml:space="preserve">通过本次实践 </w:t>
      </w:r>
      <w:r>
        <w:rPr>
          <w:rFonts w:hint="eastAsia"/>
          <w:lang w:val="en-US" w:eastAsia="zh-CN"/>
        </w:rPr>
        <w:t>本小组</w:t>
      </w:r>
      <w:r>
        <w:t>完成了</w:t>
      </w:r>
      <w:r>
        <w:rPr>
          <w:rFonts w:hint="eastAsia"/>
          <w:lang w:val="en-US" w:eastAsia="zh-CN"/>
        </w:rPr>
        <w:t>通过按键去控制</w:t>
      </w:r>
      <w:r>
        <w:t>LED蜂鸣器和LCD状态显示 实现了按键</w:t>
      </w:r>
      <w:r>
        <w:rPr>
          <w:rFonts w:hint="eastAsia"/>
          <w:lang w:val="en-US" w:eastAsia="zh-CN"/>
        </w:rPr>
        <w:t>led和蜂鸣器的多状态控制效果。</w:t>
      </w:r>
      <w:r>
        <w:t>系统运行稳定</w:t>
      </w:r>
      <w:r>
        <w:rPr>
          <w:rFonts w:hint="eastAsia"/>
          <w:lang w:eastAsia="zh-CN"/>
        </w:rPr>
        <w:t>，</w:t>
      </w:r>
      <w:r>
        <w:t>功能完整</w:t>
      </w:r>
      <w:r>
        <w:rPr>
          <w:rFonts w:hint="eastAsia"/>
          <w:lang w:eastAsia="zh-CN"/>
        </w:rPr>
        <w:t>。</w:t>
      </w:r>
    </w:p>
    <w:p w14:paraId="1776A2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</w:pPr>
      <w:r>
        <w:rPr>
          <w:rStyle w:val="15"/>
        </w:rPr>
        <w:t>收获</w:t>
      </w:r>
    </w:p>
    <w:p w14:paraId="0201B3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eastAsia" w:eastAsia="宋体"/>
          <w:lang w:eastAsia="zh-CN"/>
        </w:rPr>
      </w:pPr>
      <w:r>
        <w:t>掌握了多模块协同控制的方法</w:t>
      </w:r>
      <w:r>
        <w:rPr>
          <w:rFonts w:hint="eastAsia"/>
          <w:lang w:eastAsia="zh-CN"/>
        </w:rPr>
        <w:t>，</w:t>
      </w:r>
      <w:r>
        <w:t>熟悉了GPIO定时器中断LCD显示的基本应用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以及更加清晰了系统的执行流程和代码的阅读能力得到了提高。通过不断的调试，对led、lcd和蜂鸣器模块的了解更加深刻。并</w:t>
      </w:r>
      <w:r>
        <w:t>提高了标志位管理和系统逻辑设计能力</w:t>
      </w:r>
      <w:r>
        <w:rPr>
          <w:rFonts w:hint="eastAsia"/>
          <w:lang w:eastAsia="zh-CN"/>
        </w:rPr>
        <w:t>，</w:t>
      </w:r>
      <w:r>
        <w:t>理解了嵌入式项目中响应速度和稳定性的重要性</w:t>
      </w:r>
      <w:r>
        <w:rPr>
          <w:rFonts w:hint="eastAsia"/>
          <w:lang w:eastAsia="zh-CN"/>
        </w:rPr>
        <w:t>。</w:t>
      </w:r>
    </w:p>
    <w:p w14:paraId="309836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不足之处</w:t>
      </w:r>
    </w:p>
    <w:p w14:paraId="5D2610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eastAsia" w:eastAsia="宋体"/>
          <w:lang w:eastAsia="zh-CN"/>
        </w:rPr>
      </w:pPr>
      <w:r>
        <w:t>对定时器配置和LCD刷新优化理解还不够深入</w:t>
      </w:r>
      <w:r>
        <w:rPr>
          <w:rFonts w:hint="eastAsia"/>
          <w:lang w:eastAsia="zh-CN"/>
        </w:rPr>
        <w:t>，</w:t>
      </w:r>
      <w:r>
        <w:t>按键防抖和异常处理机制不够完善 高频状态下蜂鸣器提示效果有待改进</w:t>
      </w:r>
      <w:r>
        <w:rPr>
          <w:rFonts w:hint="eastAsia"/>
          <w:lang w:eastAsia="zh-CN"/>
        </w:rPr>
        <w:t>。</w:t>
      </w:r>
    </w:p>
    <w:p w14:paraId="389D48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Style w:val="15"/>
        </w:rPr>
      </w:pPr>
      <w:r>
        <w:rPr>
          <w:rStyle w:val="15"/>
        </w:rPr>
        <w:t>改进建议</w:t>
      </w:r>
    </w:p>
    <w:p w14:paraId="04EAAEA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20" w:firstLineChars="0"/>
        <w:textAlignment w:val="auto"/>
        <w:rPr>
          <w:rFonts w:hint="eastAsia" w:eastAsia="宋体"/>
          <w:lang w:eastAsia="zh-CN"/>
        </w:rPr>
      </w:pPr>
      <w:r>
        <w:t>后续可以优化LCD局部刷新 提升响应速度完善按键防抖处理 提高系统稳定性</w:t>
      </w:r>
      <w:r>
        <w:rPr>
          <w:rFonts w:hint="eastAsia"/>
          <w:lang w:eastAsia="zh-CN"/>
        </w:rPr>
        <w:t>，</w:t>
      </w:r>
      <w:r>
        <w:t>改进蜂鸣器提示方式 增强用户感知</w:t>
      </w:r>
      <w:r>
        <w:rPr>
          <w:rFonts w:hint="eastAsia"/>
          <w:lang w:eastAsia="zh-CN"/>
        </w:rPr>
        <w:t>，</w:t>
      </w:r>
      <w:r>
        <w:t>增加异常检测与提示功能</w:t>
      </w:r>
      <w:r>
        <w:rPr>
          <w:rFonts w:hint="eastAsia"/>
          <w:lang w:eastAsia="zh-CN"/>
        </w:rPr>
        <w:t>，</w:t>
      </w:r>
      <w:r>
        <w:t>提升系统可靠性</w:t>
      </w:r>
      <w:r>
        <w:rPr>
          <w:rFonts w:hint="eastAsia"/>
          <w:lang w:eastAsia="zh-CN"/>
        </w:rPr>
        <w:t>。</w:t>
      </w:r>
    </w:p>
    <w:p w14:paraId="3C1D4D64">
      <w:pPr>
        <w:widowControl/>
        <w:spacing w:line="400" w:lineRule="exact"/>
        <w:jc w:val="left"/>
        <w:textAlignment w:val="baseline"/>
        <w:rPr>
          <w:rFonts w:hint="eastAsia" w:ascii="宋体" w:hAnsi="宋体" w:eastAsia="宋体"/>
          <w:kern w:val="0"/>
          <w:szCs w:val="21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F3A17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5B9BA8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5B9BA8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42444">
    <w:pPr>
      <w:pStyle w:val="7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7C1F5"/>
    <w:multiLevelType w:val="singleLevel"/>
    <w:tmpl w:val="1637C1F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A15B6CF"/>
    <w:multiLevelType w:val="singleLevel"/>
    <w:tmpl w:val="5A15B6C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114519B"/>
    <w:multiLevelType w:val="singleLevel"/>
    <w:tmpl w:val="611451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iMmVhYjYzMDdjMjMxZWY4NzRmOTlmYzlkNGZkOTkifQ=="/>
  </w:docVars>
  <w:rsids>
    <w:rsidRoot w:val="00AF08BD"/>
    <w:rsid w:val="0002354E"/>
    <w:rsid w:val="0005799E"/>
    <w:rsid w:val="000662CF"/>
    <w:rsid w:val="00067D2A"/>
    <w:rsid w:val="00073840"/>
    <w:rsid w:val="000851BE"/>
    <w:rsid w:val="00085CE4"/>
    <w:rsid w:val="000D3079"/>
    <w:rsid w:val="000D4CFA"/>
    <w:rsid w:val="000F2DFC"/>
    <w:rsid w:val="001005A6"/>
    <w:rsid w:val="00103B39"/>
    <w:rsid w:val="001106D3"/>
    <w:rsid w:val="00132F20"/>
    <w:rsid w:val="00141A80"/>
    <w:rsid w:val="001508DD"/>
    <w:rsid w:val="00174B60"/>
    <w:rsid w:val="00174C14"/>
    <w:rsid w:val="00177B19"/>
    <w:rsid w:val="00190449"/>
    <w:rsid w:val="001A0F37"/>
    <w:rsid w:val="001C6D16"/>
    <w:rsid w:val="002258BC"/>
    <w:rsid w:val="0023128B"/>
    <w:rsid w:val="002370DE"/>
    <w:rsid w:val="00250DE8"/>
    <w:rsid w:val="002A5DF4"/>
    <w:rsid w:val="002C195B"/>
    <w:rsid w:val="002E1222"/>
    <w:rsid w:val="00321178"/>
    <w:rsid w:val="00332421"/>
    <w:rsid w:val="0034059A"/>
    <w:rsid w:val="003A29FD"/>
    <w:rsid w:val="003A6509"/>
    <w:rsid w:val="003E214A"/>
    <w:rsid w:val="003F6C74"/>
    <w:rsid w:val="00407908"/>
    <w:rsid w:val="00421F8F"/>
    <w:rsid w:val="00463B98"/>
    <w:rsid w:val="00475D79"/>
    <w:rsid w:val="004878AA"/>
    <w:rsid w:val="004A662A"/>
    <w:rsid w:val="004E2F71"/>
    <w:rsid w:val="00555399"/>
    <w:rsid w:val="00576413"/>
    <w:rsid w:val="00597155"/>
    <w:rsid w:val="005B35C6"/>
    <w:rsid w:val="005D64AD"/>
    <w:rsid w:val="006626A8"/>
    <w:rsid w:val="0066417C"/>
    <w:rsid w:val="00685D1C"/>
    <w:rsid w:val="006A19A8"/>
    <w:rsid w:val="006A1DF3"/>
    <w:rsid w:val="006A2877"/>
    <w:rsid w:val="00704E9F"/>
    <w:rsid w:val="00720F2C"/>
    <w:rsid w:val="0076114E"/>
    <w:rsid w:val="007A18E3"/>
    <w:rsid w:val="007E1FD3"/>
    <w:rsid w:val="007E721C"/>
    <w:rsid w:val="00856E7A"/>
    <w:rsid w:val="0086025F"/>
    <w:rsid w:val="008853ED"/>
    <w:rsid w:val="008C16E2"/>
    <w:rsid w:val="00925332"/>
    <w:rsid w:val="00952BBC"/>
    <w:rsid w:val="00982D18"/>
    <w:rsid w:val="009C2CE3"/>
    <w:rsid w:val="009C3BD3"/>
    <w:rsid w:val="009E1B24"/>
    <w:rsid w:val="00A02C61"/>
    <w:rsid w:val="00AA3208"/>
    <w:rsid w:val="00AA7581"/>
    <w:rsid w:val="00AB1B40"/>
    <w:rsid w:val="00AD5617"/>
    <w:rsid w:val="00AF08BD"/>
    <w:rsid w:val="00BE1675"/>
    <w:rsid w:val="00BE2431"/>
    <w:rsid w:val="00C049EB"/>
    <w:rsid w:val="00C31DD3"/>
    <w:rsid w:val="00D16665"/>
    <w:rsid w:val="00D24C19"/>
    <w:rsid w:val="00D72CB8"/>
    <w:rsid w:val="00D9125E"/>
    <w:rsid w:val="00DB2382"/>
    <w:rsid w:val="00DC0050"/>
    <w:rsid w:val="00DC1C69"/>
    <w:rsid w:val="00DF36FB"/>
    <w:rsid w:val="00E36853"/>
    <w:rsid w:val="00E506ED"/>
    <w:rsid w:val="00E92B3B"/>
    <w:rsid w:val="00EC37FC"/>
    <w:rsid w:val="00ED0250"/>
    <w:rsid w:val="00ED4F85"/>
    <w:rsid w:val="00EE0BF0"/>
    <w:rsid w:val="00F45B8A"/>
    <w:rsid w:val="00F47422"/>
    <w:rsid w:val="00F84C20"/>
    <w:rsid w:val="00F862BC"/>
    <w:rsid w:val="00FB6B64"/>
    <w:rsid w:val="00FF2904"/>
    <w:rsid w:val="052218B8"/>
    <w:rsid w:val="06CD0F3D"/>
    <w:rsid w:val="0A00306F"/>
    <w:rsid w:val="0ABD24D8"/>
    <w:rsid w:val="0ACE76C5"/>
    <w:rsid w:val="10823441"/>
    <w:rsid w:val="13106066"/>
    <w:rsid w:val="13F6508F"/>
    <w:rsid w:val="16947D0C"/>
    <w:rsid w:val="1BA476D1"/>
    <w:rsid w:val="1BBD6EDA"/>
    <w:rsid w:val="1D0C2068"/>
    <w:rsid w:val="1E2D2774"/>
    <w:rsid w:val="212E4873"/>
    <w:rsid w:val="23950492"/>
    <w:rsid w:val="23B66412"/>
    <w:rsid w:val="27255D3F"/>
    <w:rsid w:val="28093928"/>
    <w:rsid w:val="293C4DF1"/>
    <w:rsid w:val="2C9C5602"/>
    <w:rsid w:val="2D3820E8"/>
    <w:rsid w:val="2D477B31"/>
    <w:rsid w:val="2ED657B3"/>
    <w:rsid w:val="30330778"/>
    <w:rsid w:val="4127738D"/>
    <w:rsid w:val="4B0D62D4"/>
    <w:rsid w:val="4D43017E"/>
    <w:rsid w:val="54CF272E"/>
    <w:rsid w:val="5995615C"/>
    <w:rsid w:val="5EE368B5"/>
    <w:rsid w:val="61B71BCA"/>
    <w:rsid w:val="65763168"/>
    <w:rsid w:val="68662D72"/>
    <w:rsid w:val="6F4D0281"/>
    <w:rsid w:val="70CD4315"/>
    <w:rsid w:val="720939EB"/>
    <w:rsid w:val="75875680"/>
    <w:rsid w:val="7B101FDD"/>
    <w:rsid w:val="7B4015F0"/>
    <w:rsid w:val="7C7A6A70"/>
    <w:rsid w:val="7CDF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5"/>
    <w:qFormat/>
    <w:uiPriority w:val="0"/>
    <w:rPr>
      <w:sz w:val="18"/>
      <w:szCs w:val="18"/>
    </w:rPr>
  </w:style>
  <w:style w:type="paragraph" w:styleId="6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18"/>
    <w:qFormat/>
    <w:uiPriority w:val="0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9">
    <w:name w:val="HTML Preformatted"/>
    <w:basedOn w:val="1"/>
    <w:link w:val="2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Title"/>
    <w:basedOn w:val="1"/>
    <w:next w:val="1"/>
    <w:link w:val="17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TML Code"/>
    <w:basedOn w:val="1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字符"/>
    <w:link w:val="11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18">
    <w:name w:val="副标题 字符"/>
    <w:link w:val="8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19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20">
    <w:name w:val="标题 1 Char"/>
    <w:qFormat/>
    <w:uiPriority w:val="0"/>
    <w:rPr>
      <w:b/>
      <w:bCs/>
      <w:kern w:val="44"/>
      <w:sz w:val="44"/>
      <w:szCs w:val="44"/>
    </w:rPr>
  </w:style>
  <w:style w:type="character" w:customStyle="1" w:styleId="21">
    <w:name w:val="HTML 预设格式 字符"/>
    <w:link w:val="9"/>
    <w:qFormat/>
    <w:uiPriority w:val="0"/>
    <w:rPr>
      <w:rFonts w:ascii="Courier New" w:hAnsi="Courier New" w:eastAsia="宋体" w:cs="Courier New"/>
      <w:lang w:eastAsia="en-US"/>
    </w:rPr>
  </w:style>
  <w:style w:type="character" w:customStyle="1" w:styleId="22">
    <w:name w:val="标题 1 字符"/>
    <w:link w:val="2"/>
    <w:autoRedefine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3">
    <w:name w:val="页眉 字符"/>
    <w:link w:val="7"/>
    <w:qFormat/>
    <w:uiPriority w:val="0"/>
    <w:rPr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批注框文本 字符"/>
    <w:basedOn w:val="14"/>
    <w:link w:val="5"/>
    <w:qFormat/>
    <w:uiPriority w:val="0"/>
    <w:rPr>
      <w:rFonts w:ascii="Times New Roman" w:hAnsi="Times New Roman" w:eastAsia="宋体"/>
      <w:kern w:val="2"/>
      <w:sz w:val="18"/>
      <w:szCs w:val="18"/>
    </w:rPr>
  </w:style>
  <w:style w:type="character" w:customStyle="1" w:styleId="26">
    <w:name w:val="标题 2 字符"/>
    <w:basedOn w:val="14"/>
    <w:link w:val="3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7">
    <w:name w:val="标题 3 字符"/>
    <w:basedOn w:val="14"/>
    <w:link w:val="4"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2412</Words>
  <Characters>4380</Characters>
  <Lines>1</Lines>
  <Paragraphs>1</Paragraphs>
  <TotalTime>14</TotalTime>
  <ScaleCrop>false</ScaleCrop>
  <LinksUpToDate>false</LinksUpToDate>
  <CharactersWithSpaces>5487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2023-10-09T23:25:00Z</dcterms:created>
  <dc:creator>USER</dc:creator>
  <cp:lastModifiedBy>shizue</cp:lastModifiedBy>
  <dcterms:modified xsi:type="dcterms:W3CDTF">2025-04-26T12:14:33Z</dcterms:modified>
  <dc:title>广西科技师范学院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RubyTemplateID" linkTarget="0">
    <vt:lpwstr>6</vt:lpwstr>
  </property>
  <property fmtid="{D5CDD505-2E9C-101B-9397-08002B2CF9AE}" pid="4" name="ICV">
    <vt:lpwstr>ABD06FB905794A05A9CFCC3B654B79B7_13</vt:lpwstr>
  </property>
  <property fmtid="{D5CDD505-2E9C-101B-9397-08002B2CF9AE}" pid="5" name="KSOTemplateDocerSaveRecord">
    <vt:lpwstr>eyJoZGlkIjoiZDRiYzFkNjU1NzZiMjJjYjljYWJiMjA0MjRlMjUyNjgiLCJ1c2VySWQiOiIxNTE0NzU4NzQ1In0=</vt:lpwstr>
  </property>
</Properties>
</file>