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rPr/>
      </w:pPr>
      <w:r w:rsidDel="00000000" w:rsidR="00000000" w:rsidRPr="00000000">
        <w:rPr/>
        <w:drawing>
          <wp:inline distB="114300" distT="114300" distL="114300" distR="114300">
            <wp:extent cx="5399730" cy="3251200"/>
            <wp:effectExtent b="25400" l="25400" r="25400" t="254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51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jc w:val="both"/>
        <w:rPr>
          <w:rFonts w:ascii="Domine" w:cs="Domine" w:eastAsia="Domine" w:hAnsi="Domin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jc w:val="both"/>
        <w:rPr>
          <w:rFonts w:ascii="Domine" w:cs="Domine" w:eastAsia="Domine" w:hAnsi="Domin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jc w:val="both"/>
        <w:rPr/>
      </w:pPr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 xml:space="preserve">Almacena información relativa  a las ventas de una empresa: clientes y productos de Nortwind Corporation, productos que han solicitado cada uno, sus precios, descuento, información de envío,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jc w:val="both"/>
        <w:rPr>
          <w:rFonts w:ascii="Domine" w:cs="Domine" w:eastAsia="Domine" w:hAnsi="Domine"/>
          <w:sz w:val="22"/>
          <w:szCs w:val="22"/>
        </w:rPr>
      </w:pPr>
      <w:r w:rsidDel="00000000" w:rsidR="00000000" w:rsidRPr="00000000">
        <w:rPr>
          <w:rFonts w:ascii="Domine" w:cs="Domine" w:eastAsia="Domine" w:hAnsi="Domine"/>
          <w:b w:val="1"/>
          <w:sz w:val="22"/>
          <w:szCs w:val="22"/>
          <w:shd w:fill="ead1dc" w:val="clear"/>
          <w:rtl w:val="0"/>
        </w:rPr>
        <w:t xml:space="preserve">La tabla Products:</w:t>
      </w:r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 xml:space="preserve"> almacena información sobre los productos que vende Northwind Corporation. Las columnas SuplierId y CategoryId contienen valores enteros que señalan a filas de otras dos tablas, Suppliers y Categories respectivamente. Estas dos tablas contienen información sobre los proveedores y las diversas categorías  de los productos.</w:t>
      </w:r>
    </w:p>
    <w:p w:rsidR="00000000" w:rsidDel="00000000" w:rsidP="00000000" w:rsidRDefault="00000000" w:rsidRPr="00000000" w14:paraId="00000008">
      <w:pPr>
        <w:widowControl w:val="1"/>
        <w:jc w:val="center"/>
        <w:rPr>
          <w:rFonts w:ascii="Domine" w:cs="Domine" w:eastAsia="Domine" w:hAnsi="Domine"/>
          <w:sz w:val="22"/>
          <w:szCs w:val="22"/>
        </w:rPr>
      </w:pPr>
      <w:r w:rsidDel="00000000" w:rsidR="00000000" w:rsidRPr="00000000">
        <w:rPr>
          <w:rFonts w:ascii="Domine" w:cs="Domine" w:eastAsia="Domine" w:hAnsi="Domine"/>
          <w:sz w:val="22"/>
          <w:szCs w:val="22"/>
        </w:rPr>
        <w:drawing>
          <wp:inline distB="0" distT="0" distL="114300" distR="114300">
            <wp:extent cx="5334635" cy="12858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jc w:val="center"/>
        <w:rPr>
          <w:rFonts w:ascii="Domine" w:cs="Domine" w:eastAsia="Domine" w:hAnsi="Domin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rPr/>
      </w:pPr>
      <w:r w:rsidDel="00000000" w:rsidR="00000000" w:rsidRPr="00000000">
        <w:rPr>
          <w:rFonts w:ascii="Domine" w:cs="Domine" w:eastAsia="Domine" w:hAnsi="Domine"/>
          <w:b w:val="1"/>
          <w:sz w:val="22"/>
          <w:szCs w:val="22"/>
          <w:shd w:fill="ead1dc" w:val="clear"/>
          <w:rtl w:val="0"/>
        </w:rPr>
        <w:t xml:space="preserve">La tabla Categories:</w:t>
      </w:r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 xml:space="preserve"> además de un proveedor, cada producto pertenece a una categoría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jc w:val="center"/>
        <w:rPr/>
      </w:pPr>
      <w:r w:rsidDel="00000000" w:rsidR="00000000" w:rsidRPr="00000000">
        <w:rPr>
          <w:rFonts w:ascii="Domine" w:cs="Domine" w:eastAsia="Domine" w:hAnsi="Domine"/>
          <w:sz w:val="22"/>
          <w:szCs w:val="22"/>
        </w:rPr>
        <w:drawing>
          <wp:inline distB="0" distT="0" distL="114300" distR="114300">
            <wp:extent cx="3905885" cy="14287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rPr/>
      </w:pPr>
      <w:r w:rsidDel="00000000" w:rsidR="00000000" w:rsidRPr="00000000">
        <w:rPr>
          <w:rFonts w:ascii="Domine" w:cs="Domine" w:eastAsia="Domine" w:hAnsi="Domine"/>
          <w:b w:val="1"/>
          <w:sz w:val="22"/>
          <w:szCs w:val="22"/>
          <w:shd w:fill="ead1dc" w:val="clear"/>
          <w:rtl w:val="0"/>
        </w:rPr>
        <w:t xml:space="preserve">La tabla Customers:</w:t>
      </w:r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 xml:space="preserve"> almacena información sobre los clientes de la empresa (nombre, teléfono, dirección,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jc w:val="center"/>
        <w:rPr>
          <w:rFonts w:ascii="Domine" w:cs="Domine" w:eastAsia="Domine" w:hAnsi="Domine"/>
          <w:sz w:val="22"/>
          <w:szCs w:val="22"/>
        </w:rPr>
      </w:pPr>
      <w:r w:rsidDel="00000000" w:rsidR="00000000" w:rsidRPr="00000000">
        <w:rPr>
          <w:rFonts w:ascii="Domine" w:cs="Domine" w:eastAsia="Domine" w:hAnsi="Domine"/>
          <w:sz w:val="22"/>
          <w:szCs w:val="22"/>
        </w:rPr>
        <w:drawing>
          <wp:inline distB="0" distT="0" distL="114300" distR="114300">
            <wp:extent cx="5106035" cy="14097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jc w:val="center"/>
        <w:rPr>
          <w:rFonts w:ascii="Domine" w:cs="Domine" w:eastAsia="Domine" w:hAnsi="Domin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jc w:val="both"/>
        <w:rPr/>
      </w:pPr>
      <w:r w:rsidDel="00000000" w:rsidR="00000000" w:rsidRPr="00000000">
        <w:rPr>
          <w:rFonts w:ascii="Domine" w:cs="Domine" w:eastAsia="Domine" w:hAnsi="Domine"/>
          <w:b w:val="1"/>
          <w:sz w:val="22"/>
          <w:szCs w:val="22"/>
          <w:shd w:fill="ead1dc" w:val="clear"/>
          <w:rtl w:val="0"/>
        </w:rPr>
        <w:t xml:space="preserve">La tabla Orders:</w:t>
      </w:r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 xml:space="preserve"> guarda información (cliente, dirección de envío, fecha del pedido, etc.) sobre los pedidos realizados por los clientes de Northwind.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rPr>
          <w:rFonts w:ascii="Domine" w:cs="Domine" w:eastAsia="Domine" w:hAnsi="Domine"/>
          <w:sz w:val="22"/>
          <w:szCs w:val="22"/>
        </w:rPr>
      </w:pPr>
      <w:r w:rsidDel="00000000" w:rsidR="00000000" w:rsidRPr="00000000">
        <w:rPr>
          <w:rFonts w:ascii="Domine" w:cs="Domine" w:eastAsia="Domine" w:hAnsi="Domine"/>
          <w:sz w:val="22"/>
          <w:szCs w:val="22"/>
        </w:rPr>
        <w:drawing>
          <wp:inline distB="0" distT="0" distL="114300" distR="114300">
            <wp:extent cx="5315585" cy="17716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rPr>
          <w:rFonts w:ascii="Domine" w:cs="Domine" w:eastAsia="Domine" w:hAnsi="Domin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jc w:val="both"/>
        <w:rPr/>
      </w:pPr>
      <w:r w:rsidDel="00000000" w:rsidR="00000000" w:rsidRPr="00000000">
        <w:rPr>
          <w:rFonts w:ascii="Domine" w:cs="Domine" w:eastAsia="Domine" w:hAnsi="Domine"/>
          <w:b w:val="1"/>
          <w:sz w:val="22"/>
          <w:szCs w:val="22"/>
          <w:shd w:fill="ead1dc" w:val="clear"/>
          <w:rtl w:val="0"/>
        </w:rPr>
        <w:t xml:space="preserve">La tabla Orders Details: </w:t>
      </w:r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 xml:space="preserve">almacena los detalles de los pedidos. Cada pedido se compone de uno o más elementos, y cada elemento tiene un precio, una cantidad y un descuento.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jc w:val="center"/>
        <w:rPr>
          <w:rFonts w:ascii="Domine" w:cs="Domine" w:eastAsia="Domine" w:hAnsi="Domine"/>
          <w:sz w:val="22"/>
          <w:szCs w:val="22"/>
        </w:rPr>
      </w:pPr>
      <w:r w:rsidDel="00000000" w:rsidR="00000000" w:rsidRPr="00000000">
        <w:rPr>
          <w:rFonts w:ascii="Domine" w:cs="Domine" w:eastAsia="Domine" w:hAnsi="Domine"/>
          <w:sz w:val="22"/>
          <w:szCs w:val="22"/>
        </w:rPr>
        <w:drawing>
          <wp:inline distB="0" distT="0" distL="114300" distR="114300">
            <wp:extent cx="4866640" cy="20002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jc w:val="center"/>
        <w:rPr>
          <w:rFonts w:ascii="Domine" w:cs="Domine" w:eastAsia="Domine" w:hAnsi="Domin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rPr/>
      </w:pPr>
      <w:r w:rsidDel="00000000" w:rsidR="00000000" w:rsidRPr="00000000">
        <w:rPr>
          <w:rFonts w:ascii="Domine" w:cs="Domine" w:eastAsia="Domine" w:hAnsi="Domine"/>
          <w:b w:val="1"/>
          <w:sz w:val="22"/>
          <w:szCs w:val="22"/>
          <w:shd w:fill="ead1dc" w:val="clear"/>
          <w:rtl w:val="0"/>
        </w:rPr>
        <w:t xml:space="preserve">La tabla Employees:</w:t>
      </w:r>
      <w:r w:rsidDel="00000000" w:rsidR="00000000" w:rsidRPr="00000000">
        <w:rPr>
          <w:rFonts w:ascii="Domine" w:cs="Domine" w:eastAsia="Domine" w:hAnsi="Domine"/>
          <w:sz w:val="22"/>
          <w:szCs w:val="22"/>
          <w:rtl w:val="0"/>
        </w:rPr>
        <w:t xml:space="preserve"> contiene información de los empleados.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jc w:val="center"/>
        <w:rPr>
          <w:rFonts w:ascii="Domine" w:cs="Domine" w:eastAsia="Domine" w:hAnsi="Domine"/>
          <w:sz w:val="22"/>
          <w:szCs w:val="22"/>
        </w:rPr>
      </w:pPr>
      <w:r w:rsidDel="00000000" w:rsidR="00000000" w:rsidRPr="00000000">
        <w:rPr>
          <w:rFonts w:ascii="Domine" w:cs="Domine" w:eastAsia="Domine" w:hAnsi="Domine"/>
          <w:sz w:val="22"/>
          <w:szCs w:val="22"/>
        </w:rPr>
        <w:drawing>
          <wp:inline distB="0" distT="0" distL="114300" distR="114300">
            <wp:extent cx="5353685" cy="1485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Domine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8504"/>
      </w:tabs>
      <w:spacing w:after="0" w:before="0" w:line="240" w:lineRule="auto"/>
      <w:ind w:left="0" w:firstLine="0"/>
      <w:rPr>
        <w:rFonts w:ascii="Verdana" w:cs="Verdana" w:eastAsia="Verdana" w:hAnsi="Verdana"/>
        <w:color w:val="1f497d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8504"/>
      </w:tabs>
      <w:spacing w:after="0" w:before="0" w:line="240" w:lineRule="auto"/>
      <w:ind w:left="0" w:firstLine="0"/>
      <w:rPr>
        <w:rFonts w:ascii="Verdana" w:cs="Verdana" w:eastAsia="Verdana" w:hAnsi="Verdana"/>
        <w:color w:val="1f497d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8504"/>
      </w:tabs>
      <w:spacing w:after="0" w:before="0" w:line="240" w:lineRule="auto"/>
      <w:ind w:left="0" w:firstLine="0"/>
      <w:rPr>
        <w:i w:val="1"/>
      </w:rPr>
    </w:pPr>
    <w:r w:rsidDel="00000000" w:rsidR="00000000" w:rsidRPr="00000000">
      <w:rPr>
        <w:rFonts w:ascii="Verdana" w:cs="Verdana" w:eastAsia="Verdana" w:hAnsi="Verdana"/>
        <w:i w:val="1"/>
        <w:color w:val="1f497d"/>
        <w:sz w:val="20"/>
        <w:szCs w:val="20"/>
        <w:vertAlign w:val="baseline"/>
        <w:rtl w:val="0"/>
      </w:rPr>
      <w:tab/>
      <w:t xml:space="preserve">Página </w:t>
    </w:r>
    <w:r w:rsidDel="00000000" w:rsidR="00000000" w:rsidRPr="00000000">
      <w:rPr>
        <w:rFonts w:ascii="Verdana" w:cs="Verdana" w:eastAsia="Verdana" w:hAnsi="Verdana"/>
        <w:i w:val="1"/>
        <w:color w:val="1f497d"/>
        <w:sz w:val="20"/>
        <w:szCs w:val="20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76" w:lineRule="auto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"/>
      <w:tblW w:w="8505.0" w:type="dxa"/>
      <w:jc w:val="left"/>
      <w:tblInd w:w="-45.00000000000001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530"/>
      <w:gridCol w:w="6975"/>
      <w:tblGridChange w:id="0">
        <w:tblGrid>
          <w:gridCol w:w="1530"/>
          <w:gridCol w:w="6975"/>
        </w:tblGrid>
      </w:tblGridChange>
    </w:tblGrid>
    <w:tr>
      <w:trPr>
        <w:cantSplit w:val="0"/>
        <w:trHeight w:val="1020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1A">
          <w:pPr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80" w:lineRule="auto"/>
            <w:jc w:val="both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114300" distR="114300">
                <wp:extent cx="791845" cy="589915"/>
                <wp:effectExtent b="0" l="0" r="0" t="0"/>
                <wp:docPr id="2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1B">
          <w:pPr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Rule="auto"/>
            <w:jc w:val="center"/>
            <w:rPr>
              <w:rFonts w:ascii="Arial" w:cs="Arial" w:eastAsia="Arial" w:hAnsi="Arial"/>
              <w:i w:val="1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Northwind (descripción)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i w:val="1"/>
              <w:sz w:val="16"/>
              <w:szCs w:val="16"/>
              <w:rtl w:val="0"/>
            </w:rPr>
            <w:t xml:space="preserve">DAM2 - ACDA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mine-regular.ttf"/><Relationship Id="rId2" Type="http://schemas.openxmlformats.org/officeDocument/2006/relationships/font" Target="fonts/Domine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